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A2482" w:rsidRDefault="000A2482">
      <w:pPr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"/>
        <w:tblW w:w="933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510"/>
        <w:gridCol w:w="536"/>
        <w:gridCol w:w="2244"/>
        <w:gridCol w:w="288"/>
        <w:gridCol w:w="230"/>
        <w:gridCol w:w="1005"/>
        <w:gridCol w:w="1297"/>
        <w:gridCol w:w="379"/>
        <w:gridCol w:w="7"/>
        <w:gridCol w:w="35"/>
      </w:tblGrid>
      <w:tr w:rsidR="000A2482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3129E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0A2482" w:rsidRDefault="000A248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3129EF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0A2482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92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3129E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AP3. Especificar el modelo conceptual del sistema de información.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3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  <w:tc>
          <w:tcPr>
            <w:tcW w:w="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5A0F39" w:rsidP="005A0F3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A0F39">
              <w:rPr>
                <w:rFonts w:ascii="Arial" w:eastAsia="Arial" w:hAnsi="Arial" w:cs="Arial"/>
                <w:sz w:val="20"/>
                <w:szCs w:val="20"/>
              </w:rPr>
              <w:t>AA4. Elaborar el modelo conceptual del sistema de información a desarrollar, teniendo en cuenta  modelos tecnológicos de información empresarial, los requerimientos del cliente, normas, protocolos y modelos de calidad en el manejo de información adoptados por la organización.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3129EF" w:rsidRDefault="003129E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22050100602 -Plantear diferentes alternativas, de modelos tecnológicos de información empresarial, teniendo en cuenta la plataforma tecnológica de la empresa y las tendencias del mercado, para dar solución a las situaciones relacionadas con el manejo de la información de la organización.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22050103201 -Construir el modelo conceptual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macrosistema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frente a los requerimientos del cliente, mediante el uso e interpretación de la información levantada, representado en diagramas de clase, de interacción, colaboración y contratos de operación, de acuerdo con las diferentes secuencias, fases y procedimientos del sistema.</w:t>
            </w:r>
          </w:p>
          <w:p w:rsidR="000A2482" w:rsidRDefault="000A248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</w:tcPr>
          <w:p w:rsidR="000A2482" w:rsidRDefault="003129EF">
            <w:pPr>
              <w:widowControl w:val="0"/>
              <w:spacing w:before="1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del modelo conceptual del sistema de información a desarrollar.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0A2482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0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0A2482" w:rsidRDefault="000A248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0A2482" w:rsidRDefault="003129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vez el instructor virtual ha indicado al aprendiz realizar un análisis a los productos de la actividad anterior en el modelo de requerimientos, con base a ese análisis deberá obtener modelo conceptual del sistema de información a desarrollar que contendrá los siguientes elementos:</w:t>
            </w:r>
          </w:p>
          <w:p w:rsidR="000A2482" w:rsidRDefault="000A248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A2482" w:rsidRDefault="003129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datos</w:t>
            </w:r>
          </w:p>
          <w:p w:rsidR="000A2482" w:rsidRDefault="003129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clases y estructura</w:t>
            </w:r>
          </w:p>
          <w:p w:rsidR="000A2482" w:rsidRDefault="003129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procesos</w:t>
            </w:r>
          </w:p>
          <w:p w:rsidR="000A2482" w:rsidRDefault="000A248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A2482" w:rsidRDefault="003129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modelo de datos se compone del diagrama entidad relación, el modelo de clases y estructura se compone de los diagramas de clases, y el modelo de procesos se componen de los diagramas de secuencia, diagramas de colaboración y diagramas de actividad.</w:t>
            </w:r>
          </w:p>
        </w:tc>
      </w:tr>
      <w:tr w:rsidR="000A2482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0A2482" w:rsidRDefault="003129EF">
            <w:pPr>
              <w:spacing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en procesador de texto a partir de la plantilla suministrada con la caracterización de los casos de uso para cada requerimiento y su presentación usando diagramas UML.</w:t>
            </w:r>
          </w:p>
        </w:tc>
      </w:tr>
      <w:tr w:rsidR="000A2482">
        <w:trPr>
          <w:trHeight w:val="16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Criterios de evaluación</w:t>
            </w:r>
          </w:p>
          <w:p w:rsidR="000A2482" w:rsidRDefault="000A2482">
            <w:pPr>
              <w:spacing w:after="0" w:line="240" w:lineRule="auto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:rsidR="000A2482" w:rsidRDefault="000A248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</w:tcPr>
          <w:p w:rsidR="000A2482" w:rsidRDefault="003129E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 los diagramas UML, de acuerdo con las características de cada uno de ellos, basado en los requerimientos del cliente, utilizando herramientas case.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Modela la base de datos, a partir de la valoración de la información obtenida en el diccionario de datos y el análisis de los procesos, de acuerdo con las necesidades del sistema de información requerido.</w:t>
            </w:r>
          </w:p>
        </w:tc>
      </w:tr>
      <w:tr w:rsidR="000A2482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56" w:type="dxa"/>
            </w:tcMar>
          </w:tcPr>
          <w:p w:rsidR="000A2482" w:rsidRDefault="003129E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6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 w:rsidP="005404B6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="005404B6">
              <w:rPr>
                <w:rFonts w:ascii="Arial" w:eastAsia="Arial" w:hAnsi="Arial" w:cs="Arial"/>
                <w:b/>
                <w:sz w:val="20"/>
                <w:szCs w:val="20"/>
              </w:rPr>
              <w:t>ú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brica</w:t>
            </w:r>
          </w:p>
        </w:tc>
        <w:tc>
          <w:tcPr>
            <w:tcW w:w="5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0A2482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3129E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0A2482" w:rsidRDefault="000A2482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0A2482" w:rsidRDefault="000A24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3129E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6" w:type="dxa"/>
        <w:jc w:val="center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4791"/>
        <w:gridCol w:w="692"/>
        <w:gridCol w:w="833"/>
        <w:gridCol w:w="2567"/>
      </w:tblGrid>
      <w:tr w:rsidR="000A2482">
        <w:trPr>
          <w:trHeight w:val="260"/>
          <w:jc w:val="center"/>
        </w:trPr>
        <w:tc>
          <w:tcPr>
            <w:tcW w:w="51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9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ind w:left="8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A2482">
        <w:trPr>
          <w:trHeight w:val="260"/>
          <w:jc w:val="center"/>
        </w:trPr>
        <w:tc>
          <w:tcPr>
            <w:tcW w:w="513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0A248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3129EF">
            <w:pPr>
              <w:widowControl w:val="0"/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84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las entidades del modelo ER y son razonables para el sistema en estudio.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los atributos del modelo ER y son razonables para el sistema en estudio.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las relaciones entre las entidades y son razonables para el sistema en estudio.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9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Identifica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cardinalidad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participación de las relaciones y tienen coherencia para cada tipo de entidad.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9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 w:rsidP="005404B6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entidades presentan la llave primaria utilizando la diagramación para tal fin.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2482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0A2482" w:rsidRDefault="003129EF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Existe coherencia en el modelo como un todo.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A2482" w:rsidRDefault="000A248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0A2482">
      <w:pPr>
        <w:spacing w:after="0" w:line="240" w:lineRule="auto"/>
        <w:rPr>
          <w:rFonts w:ascii="Arial" w:eastAsia="Arial" w:hAnsi="Arial" w:cs="Arial"/>
          <w:i/>
          <w:color w:val="0070C0"/>
          <w:sz w:val="20"/>
          <w:szCs w:val="20"/>
        </w:rPr>
      </w:pPr>
    </w:p>
    <w:p w:rsidR="003129EF" w:rsidRDefault="003129EF">
      <w:pPr>
        <w:spacing w:after="0" w:line="240" w:lineRule="auto"/>
        <w:rPr>
          <w:rFonts w:ascii="Arial" w:eastAsia="Arial" w:hAnsi="Arial" w:cs="Arial"/>
          <w:i/>
          <w:color w:val="0070C0"/>
          <w:sz w:val="20"/>
          <w:szCs w:val="20"/>
        </w:rPr>
      </w:pPr>
    </w:p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0A24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A2482" w:rsidRDefault="000A2482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1"/>
        <w:tblW w:w="918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520"/>
        <w:gridCol w:w="2415"/>
        <w:gridCol w:w="2550"/>
      </w:tblGrid>
      <w:tr w:rsidR="000A2482" w:rsidRPr="003129EF" w:rsidTr="003129EF">
        <w:trPr>
          <w:trHeight w:val="373"/>
        </w:trPr>
        <w:tc>
          <w:tcPr>
            <w:tcW w:w="9180" w:type="dxa"/>
            <w:gridSpan w:val="4"/>
            <w:shd w:val="clear" w:color="auto" w:fill="FFFFFF"/>
            <w:tcMar>
              <w:left w:w="73" w:type="dxa"/>
            </w:tcMar>
          </w:tcPr>
          <w:p w:rsidR="004A063C" w:rsidRDefault="004A063C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</w:p>
          <w:p w:rsidR="000A2482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RÚBRICA PARA SUSTENTACIÓN DE ACTIVIDADES (EVIDENCIAS)</w:t>
            </w:r>
          </w:p>
          <w:p w:rsidR="004A063C" w:rsidRPr="003129EF" w:rsidRDefault="004A063C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0A2482" w:rsidRPr="003129EF" w:rsidTr="003129EF">
        <w:trPr>
          <w:trHeight w:val="278"/>
        </w:trPr>
        <w:tc>
          <w:tcPr>
            <w:tcW w:w="169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Parámetro</w:t>
            </w:r>
          </w:p>
        </w:tc>
        <w:tc>
          <w:tcPr>
            <w:tcW w:w="252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Excelente</w:t>
            </w:r>
          </w:p>
        </w:tc>
        <w:tc>
          <w:tcPr>
            <w:tcW w:w="241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Bueno</w:t>
            </w:r>
          </w:p>
        </w:tc>
        <w:tc>
          <w:tcPr>
            <w:tcW w:w="255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Regular</w:t>
            </w:r>
          </w:p>
        </w:tc>
      </w:tr>
      <w:tr w:rsidR="000A2482" w:rsidRPr="003129EF">
        <w:trPr>
          <w:trHeight w:val="1420"/>
        </w:trPr>
        <w:tc>
          <w:tcPr>
            <w:tcW w:w="169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lastRenderedPageBreak/>
              <w:t>Acceso y uso de Información</w:t>
            </w:r>
          </w:p>
        </w:tc>
        <w:tc>
          <w:tcPr>
            <w:tcW w:w="252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Argumenta con seguridad sus actividades y evidencias.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En sus evidencias excede las expectativas de lo solicitado.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 xml:space="preserve">• Relaciona la temática con la actividad </w:t>
            </w:r>
            <w:r w:rsidR="0073062D">
              <w:rPr>
                <w:rFonts w:ascii="Arial" w:eastAsia="Arial" w:hAnsi="Arial" w:cs="Arial"/>
                <w:color w:val="000000"/>
                <w:sz w:val="18"/>
                <w:szCs w:val="20"/>
              </w:rPr>
              <w:t>de proyecto que se está desarrollando.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Formula preguntas que invitan a la reflexión.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Evidencia la lectura e investigación en otras fuentes de información.</w:t>
            </w:r>
          </w:p>
        </w:tc>
        <w:tc>
          <w:tcPr>
            <w:tcW w:w="241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Sus intervenciones son intermitentes.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Sustenta sus actividades sin mayor profundización.</w:t>
            </w: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Formula preguntas de baja complejidad.</w:t>
            </w:r>
          </w:p>
        </w:tc>
        <w:tc>
          <w:tcPr>
            <w:tcW w:w="255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Su sustentación no refleja el trabajo desarrollado.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En sus evidencias no se visualiza aplicabilidad del tema estudiado.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No formula preguntas.</w:t>
            </w:r>
          </w:p>
        </w:tc>
      </w:tr>
      <w:tr w:rsidR="000A2482" w:rsidRPr="003129EF">
        <w:trPr>
          <w:trHeight w:val="1420"/>
        </w:trPr>
        <w:tc>
          <w:tcPr>
            <w:tcW w:w="169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Autonomía y responsabilidad</w:t>
            </w:r>
          </w:p>
        </w:tc>
        <w:tc>
          <w:tcPr>
            <w:tcW w:w="252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 xml:space="preserve">• Responde en el tiempo estipulado las preguntas formuladas por el instructor y compañeros. 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Respeta y valora las opiniones de los demás.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Manifiesta un trato amable y cordial en sus intervenciones.</w:t>
            </w:r>
          </w:p>
        </w:tc>
        <w:tc>
          <w:tcPr>
            <w:tcW w:w="241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Responde oportunamente en la sustentación.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73062D" w:rsidRPr="003129EF" w:rsidRDefault="003129EF" w:rsidP="0073062D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 xml:space="preserve">• Sus aportes se relacionan medianamente con la </w:t>
            </w:r>
            <w:r w:rsidR="0073062D"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 xml:space="preserve">actividad </w:t>
            </w:r>
            <w:r w:rsidR="0073062D">
              <w:rPr>
                <w:rFonts w:ascii="Arial" w:eastAsia="Arial" w:hAnsi="Arial" w:cs="Arial"/>
                <w:color w:val="000000"/>
                <w:sz w:val="18"/>
                <w:szCs w:val="20"/>
              </w:rPr>
              <w:t>de proyecto que se está desarrollando.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bookmarkStart w:id="1" w:name="_GoBack"/>
            <w:bookmarkEnd w:id="1"/>
          </w:p>
        </w:tc>
        <w:tc>
          <w:tcPr>
            <w:tcW w:w="255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Responde en forma extemporánea e incompleta.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Omite presentarse e identificarse en sus intervenciones.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El trato para con sus compañeros podría ser más cordial.</w:t>
            </w:r>
          </w:p>
        </w:tc>
      </w:tr>
      <w:tr w:rsidR="000A2482" w:rsidRPr="003129EF">
        <w:trPr>
          <w:trHeight w:val="680"/>
        </w:trPr>
        <w:tc>
          <w:tcPr>
            <w:tcW w:w="169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b/>
                <w:color w:val="000000"/>
                <w:sz w:val="18"/>
                <w:szCs w:val="20"/>
              </w:rPr>
              <w:t>Análisis de Contexto</w:t>
            </w:r>
          </w:p>
        </w:tc>
        <w:tc>
          <w:tcPr>
            <w:tcW w:w="252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Comparte información adicional y de interés, genera discusión orientada hacia la reflexión, el análisis, la crítica y la controversia.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Sus aportes son el resultado del análisis, la reflexión y la crítica frente a la temática tratada.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 w:rsidP="005404B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 xml:space="preserve">• Demuestra uso correcto de herramientas informáticas para la comunicación </w:t>
            </w:r>
            <w:r w:rsidRPr="005404B6">
              <w:rPr>
                <w:rFonts w:ascii="Arial" w:eastAsia="Arial" w:hAnsi="Arial" w:cs="Arial"/>
                <w:i/>
                <w:color w:val="000000"/>
                <w:sz w:val="18"/>
                <w:szCs w:val="20"/>
              </w:rPr>
              <w:t>Online</w:t>
            </w: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415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Genera conclusiones.</w:t>
            </w:r>
          </w:p>
        </w:tc>
        <w:tc>
          <w:tcPr>
            <w:tcW w:w="2550" w:type="dxa"/>
            <w:shd w:val="clear" w:color="auto" w:fill="FFFFFF"/>
            <w:tcMar>
              <w:left w:w="73" w:type="dxa"/>
            </w:tcMar>
          </w:tcPr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Omite responder consultas de sus compañeros, el trato hacia los demás frío y seco.</w:t>
            </w:r>
          </w:p>
          <w:p w:rsidR="000A2482" w:rsidRPr="003129EF" w:rsidRDefault="000A248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</w:p>
          <w:p w:rsidR="000A2482" w:rsidRPr="003129EF" w:rsidRDefault="003129EF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129EF">
              <w:rPr>
                <w:rFonts w:ascii="Arial" w:eastAsia="Arial" w:hAnsi="Arial" w:cs="Arial"/>
                <w:color w:val="000000"/>
                <w:sz w:val="18"/>
                <w:szCs w:val="20"/>
              </w:rPr>
              <w:t>• Su interacción con sus compañeros y tutor es nula.</w:t>
            </w:r>
          </w:p>
        </w:tc>
      </w:tr>
    </w:tbl>
    <w:p w:rsidR="000A2482" w:rsidRDefault="000A2482" w:rsidP="003129E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0A2482">
      <w:headerReference w:type="default" r:id="rId6"/>
      <w:pgSz w:w="12240" w:h="15840"/>
      <w:pgMar w:top="274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94F" w:rsidRDefault="00F0694F">
      <w:pPr>
        <w:spacing w:after="0" w:line="240" w:lineRule="auto"/>
      </w:pPr>
      <w:r>
        <w:separator/>
      </w:r>
    </w:p>
  </w:endnote>
  <w:endnote w:type="continuationSeparator" w:id="0">
    <w:p w:rsidR="00F0694F" w:rsidRDefault="00F0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94F" w:rsidRDefault="00F0694F">
      <w:pPr>
        <w:spacing w:after="0" w:line="240" w:lineRule="auto"/>
      </w:pPr>
      <w:r>
        <w:separator/>
      </w:r>
    </w:p>
  </w:footnote>
  <w:footnote w:type="continuationSeparator" w:id="0">
    <w:p w:rsidR="00F0694F" w:rsidRDefault="00F0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482" w:rsidRDefault="000A2482">
    <w:pPr>
      <w:widowControl w:val="0"/>
      <w:spacing w:before="708" w:after="0"/>
    </w:pPr>
  </w:p>
  <w:tbl>
    <w:tblPr>
      <w:tblStyle w:val="a2"/>
      <w:tblW w:w="8843" w:type="dxa"/>
      <w:tblInd w:w="47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0A2482">
      <w:tc>
        <w:tcPr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3" w:type="dxa"/>
          </w:tcMar>
        </w:tcPr>
        <w:p w:rsidR="000A2482" w:rsidRDefault="003129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635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36" w:type="dxa"/>
          </w:tcMar>
        </w:tcPr>
        <w:p w:rsidR="000A2482" w:rsidRDefault="003129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:rsidR="000A2482" w:rsidRDefault="000A248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0A2482" w:rsidRDefault="003129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0A2482" w:rsidRDefault="003129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0A2482" w:rsidRDefault="003129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</w:tc>
    </w:tr>
  </w:tbl>
  <w:p w:rsidR="000A2482" w:rsidRDefault="000A2482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2482"/>
    <w:rsid w:val="000A2482"/>
    <w:rsid w:val="003129EF"/>
    <w:rsid w:val="004A063C"/>
    <w:rsid w:val="005404B6"/>
    <w:rsid w:val="00567930"/>
    <w:rsid w:val="005A0F39"/>
    <w:rsid w:val="0073062D"/>
    <w:rsid w:val="008D32FB"/>
    <w:rsid w:val="00CB440F"/>
    <w:rsid w:val="00F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AC6F"/>
  <w15:docId w15:val="{879526E5-A87D-4923-B143-42597508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12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6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73" w:type="dxa"/>
        <w:right w:w="108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6</cp:revision>
  <dcterms:created xsi:type="dcterms:W3CDTF">2017-11-30T13:01:00Z</dcterms:created>
  <dcterms:modified xsi:type="dcterms:W3CDTF">2018-04-30T10:05:00Z</dcterms:modified>
</cp:coreProperties>
</file>