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180" w:type="dxa"/>
        <w:jc w:val="center"/>
        <w:tblLook w:val="000400" w:firstRow="0" w:lastRow="0" w:firstColumn="0" w:lastColumn="0" w:noHBand="0" w:noVBand="1"/>
        <w:tblLayout w:type="fixed"/>
      </w:tblPr>
      <w:tblGrid>
        <w:gridCol w:w="1779"/>
        <w:gridCol w:w="1488"/>
        <w:gridCol w:w="529"/>
        <w:gridCol w:w="2212"/>
        <w:gridCol w:w="281"/>
        <w:gridCol w:w="225"/>
        <w:gridCol w:w="993"/>
        <w:gridCol w:w="1280"/>
        <w:gridCol w:w="380"/>
        <w:gridCol w:w="1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7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4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7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1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4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AP3. Especificar el modelo conceptual del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sistema de información.</w:t>
            </w:r>
          </w:p>
        </w:tc>
        <w:tc>
          <w:tcPr>
            <w:tcW w:type="dxa" w:w="12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4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8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requerimientos del cliente, normas, protocolos y modelos de calidad en 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manejo de información adoptados por la organización.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24020150013. Generar procesos autónomos y de trabajo colaborativo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permanentes, fortaleciendo el equilibrio de los componentes racionales y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emocionales orientados hacia el desarrollo humano integral.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3"/>
          <w:trHeight w:hRule="atleast" w:val="712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38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gjdgxs"/>
            <w:bookmarkEnd w:id="1"/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308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4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18"/>
                <w:szCs w:val="18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26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la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 Contendrá las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respuestas a las preguntas, de los casos 1 y 2 y las conclusiones.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07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4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424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pacing w:lineRule="auto" w:line="275" w:before="0" w:after="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Armoniza los componentes racionales y emocionales en el desarrollo de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los procesos de trabajo colectivo, según normas de convivencia. 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pacing w:lineRule="auto" w:line="275" w:before="0" w:after="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Resuelve conflictos mediante el uso de la racionalidad, la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argumentación y la asertividad.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308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4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chequeo</w:t>
            </w:r>
          </w:p>
        </w:tc>
        <w:tc>
          <w:tcPr>
            <w:tcW w:type="dxa" w:w="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verificación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Esta actividad tiene como objetivo que ponga en práctica los temas vistos en el material de </w:t>
      </w:r>
      <w:r>
        <w:rPr>
          <w:color w:val="000000"/>
          <w:sz w:val="20"/>
          <w:szCs w:val="20"/>
          <w:rFonts w:ascii="Arial" w:eastAsia="Arial" w:hAnsi="Arial" w:hint="default"/>
        </w:rPr>
        <w:t>formación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Por tal motivo es necesario que: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detenimiento el material de formación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atención el siguiente caso de estudio y proceda a responder las preguntas que allí se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le plantean.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1 “Trabajo en equipo”.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es contratado por una empresa que necesita un sistema de información para poder tener 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la mano el registro del inventario de productos con los que cuentan. Al llegar a la empresa el jefe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compañía le asigna un grupo de cuatro personas que lo apoyarán para realizar la recolección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información y todo lo que se requiera para poder montar el programa en el menor tiempo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posible.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Conforme van pasando los días usted encuentra las siguientes características en cada uno de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miembros del grupo: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María: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muestra toda la voluntad para trabajar, cumple con las tareas asignadas, aprende rápido.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Juan: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tiene algo de voluntad para trabajar, entrega lo solicitado no siempre en los tiempos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pactados, sus aportes no hacen mucha diferencia al trabajo.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Inés: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su rendimiento es variable, a veces apoya al grupo y otras no cumple con lo solicitado.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Rodolfo: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es muy amable, conoce bastante sobre el tema, pero no comparte la información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constantemente está encontrándole peros a lo que realizan los demás.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estrategias usaría para que el equipo funcionara mejor?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haría con cada personaje en particular para potenciar sus habilidades y aporte al trabajo?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herramientas emplearía que crea que serían las adecuadas para lograr el mejor trabajo </w:t>
      </w:r>
      <w:r>
        <w:rPr>
          <w:color w:val="000000"/>
          <w:sz w:val="20"/>
          <w:szCs w:val="20"/>
          <w:rFonts w:ascii="Arial" w:eastAsia="Arial" w:hAnsi="Arial" w:hint="default"/>
        </w:rPr>
        <w:t>grupal?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jefe le da la oportunidad de prescindir de uno de los miembros de este equipo.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¿Cuál considera que debe ser reemplazado y por qué?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Establezca las cinco características que usted buscaría en el nuevo miembro del grupo y por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qué cree que son importantes.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2 “Conflictos”.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lidera un equipo, de pronto se le acerca Simón, uno de los miembros de su equipo, quien le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dice que acaba de recibir un correo electrónico con insultos y maltratos hacia él.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investiga sobre la procedencia del correo y encuentra que fue enviando desde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computador de Joaquín uno de los miembros del 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Al ir al puesto de trabajo de Joaquín encuentra que esté ha ido a una cita médica. Uno de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compañeros le comenta que en la mañana vieron a Orlando, uno de sus hombres de confianza,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sentado en el computador de Joaquín.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decide llamar a Orlando, le comenta sobre el caso, pero él asegura que no envío el correo.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Al cabo de dos días Orlando se acerca y le dice que, si fue él, que lo lamenta: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Esto le indica que hay un problema al interior de su equipo, ¿Qué cree que debe hacer para </w:t>
      </w:r>
      <w:r>
        <w:rPr>
          <w:color w:val="000000"/>
          <w:sz w:val="20"/>
          <w:szCs w:val="20"/>
          <w:rFonts w:ascii="Arial" w:eastAsia="Arial" w:hAnsi="Arial" w:hint="default"/>
        </w:rPr>
        <w:t>solucionarlo?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estrategias preventivas puede aplicar para que no se repita esta situación?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Luego de haber respondido las preguntas del caso 1 y el caso 2 proceda a elaborar un escrito.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contenga la siguiente información: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Portada.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Introducción.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Las preguntas desarrolladas del caso 1 y el caso 2.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Elabore unas conclusiones sobre la importancia del trabajo en equipo y la resolución de </w:t>
      </w:r>
      <w:r>
        <w:rPr>
          <w:color w:val="000000"/>
          <w:sz w:val="20"/>
          <w:szCs w:val="20"/>
          <w:rFonts w:ascii="Arial" w:eastAsia="Arial" w:hAnsi="Arial" w:hint="default"/>
        </w:rPr>
        <w:t>conflictos.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escrito deberá adjuntarse en el enlace dispuesto para ello.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Evidencia Escrito: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“Trabajo en equipo y resolución de 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documento contendrá: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Portada.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Introducción.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Las preguntas desarrolladas del caso 1 y el caso 2.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Elabore unas conclusiones sobre la importancia del trabajo en equipo y la resolución de </w:t>
      </w:r>
      <w:r>
        <w:rPr>
          <w:color w:val="000000"/>
          <w:sz w:val="20"/>
          <w:szCs w:val="20"/>
          <w:rFonts w:ascii="Arial" w:eastAsia="Arial" w:hAnsi="Arial" w:hint="default"/>
        </w:rPr>
        <w:t>conflictos.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escrito deberá adjuntarse en el enlace dispuesto para ello.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las variables y criterios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establecidos en el instrumento de evaluación específico para esta evidencia, 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importante su lectura para mayor comprensión de lo 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Nombre instrumento de evaluación: IE-AP03-AA4-EV07-Escrito-Trabajo-Equipo.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Pasos para enviar evidencia: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el título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Examinar mi equipo y buscar el archivo previamente guardado.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Dejar un comentario al instructor (opcional).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Enviar.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Arial" w:eastAsia="Arial" w:hAnsi="Arial" w:hint="default"/>
        </w:rPr>
        <w:t xml:space="preserve">Caso 2: Conflictos - Solución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Ante todo reconocería el valor de Orlando de reconocer su error; pues, eso es lo primero que hay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hacer para la resolución de un conflicto: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reconocer que existe una situación de conflicto y,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posteriormente así, poder buscar la solución más conveniente.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Esto le indica que hay un problema al interior de su equipo, ¿Qué cree que debe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hacer para solucionarlo?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Lo que se debe hacer es encarar el problema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; incluso, si se hace necesario solicitar la ayuda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un tercero externo o mediador (como parece ser que éste pueda ser el caso por estar ante un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conflicto disfuncional y destructivo) se solicita. Ese tercero, en consecuencia, debe mejorar</w:t>
      </w:r>
      <w:r>
        <w:rPr>
          <w:i w:val="0"/>
          <w:color w:val="000000"/>
          <w:sz w:val="20"/>
          <w:szCs w:val="20"/>
          <w:rFonts w:ascii="Arial" w:eastAsia="Arial" w:hAnsi="Arial" w:hint="default"/>
        </w:rPr>
        <w:t xml:space="preserve"> los 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puentes de contacto </w:t>
      </w:r>
      <w:r>
        <w:rPr>
          <w:i w:val="0"/>
          <w:color w:val="000000"/>
          <w:sz w:val="20"/>
          <w:szCs w:val="20"/>
          <w:rFonts w:ascii="Arial" w:eastAsia="Arial" w:hAnsi="Arial" w:hint="default"/>
        </w:rPr>
        <w:t xml:space="preserve">para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llamar y acercar a ambas partes en conflicto; es decir, para acercar 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Orlando &amp; a Joaquin, y motivarlas a qué aclaren los origenes de sus diferencias de manera sana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respetuosa. El mensaje debe entenderse bien: Con la comunicación se puede recibir una segunda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oportunidad; pero, además, es por medio de una comunicación saludable que se logra toda fuente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resolución de conflictos, por medio de consensos, ante eventuales diferencias en el equipo de </w:t>
      </w:r>
      <w:r>
        <w:rPr>
          <w:color w:val="000000"/>
          <w:sz w:val="20"/>
          <w:szCs w:val="20"/>
          <w:rFonts w:ascii="Arial" w:eastAsia="Arial" w:hAnsi="Arial" w:hint="default"/>
        </w:rPr>
        <w:t>trabajo.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R/ Cuatros verbos fundamentales para poner en práctica: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1.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Escuchar: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Un conflicto se debe resolver con la mayor objetividad posible sin enfocarse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únicamente en el punto de vista personal, sino que también se debe poner en el lugar de los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demás. Estar dispuestos a aceptar críticas e intercambiar ideas sin juzgar.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2.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Analizar: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Ver cómo le está afectando al otro esta situación, ponerme en sus zapatos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>3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.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Reflexionar: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Que su finalidad siempre sea buscar un beneficio para todas las partes, en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conflicto, involucradas.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4.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Exponer: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Decir las ideas de forma asertiva, clara, contundente y directa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estrategias preventivas puede aplicar para que no se repita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Hay que tener siempre en mente las siguientes recomendaciones: Recalcar la importancia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estar abiertos al diálogo, procurar siempre buscar soluciones mediante la Objetividad, pretender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escuchar al otro genuinamente sin juzgarlo &amp;, por último, reflexionar y cuestionar nuestro propio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comportamiento siempre, etc.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rStyle w:val="PO0"/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1"/>
        <w:autoSpaceDE w:val="1"/>
        <w:autoSpaceDN w:val="1"/>
      </w:pP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02" w:type="dxa"/>
      <w:tblLook w:val="000400" w:firstRow="0" w:lastRow="0" w:firstColumn="0" w:lastColumn="0" w:noHBand="0" w:noVBand="1"/>
      <w:tblLayout w:type="fixed"/>
    </w:tblPr>
    <w:tblGrid>
      <w:gridCol w:w="1844"/>
      <w:gridCol w:w="7158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4"/>
            <w:left w:val="single" w:color="000000" w:sz="4"/>
            <w:right w:val="single" w:color="000000" w:sz="6"/>
            <w:top w:val="single" w:color="000000" w:sz="4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1500" cy="57150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2603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213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6"/>
            <w:left w:val="single" w:color="000000" w:sz="6"/>
            <w:right w:val="single" w:color="000000" w:sz="6"/>
            <w:top w:val="single" w:color="000000" w:sz="6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8CDCDBC"/>
    <w:lvl w:ilvl="0">
      <w:lvlJc w:val="left"/>
      <w:numFmt w:val="decimal"/>
      <w:start w:val="1"/>
      <w:suff w:val="tab"/>
      <w:pPr>
        <w:ind w:left="360" w:hanging="360"/>
        <w:jc w:val="both"/>
      </w:pPr>
      <w:rPr>
        <w:b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1">
    <w:multiLevelType w:val="multilevel"/>
    <w:nsid w:val="2F000001"/>
    <w:tmpl w:val="357DFEE0"/>
    <w:lvl w:ilvl="0">
      <w:lvlJc w:val="left"/>
      <w:numFmt w:val="lowerLetter"/>
      <w:start w:val="1"/>
      <w:suff w:val="tab"/>
      <w:pPr>
        <w:ind w:left="360" w:hanging="360"/>
        <w:jc w:val="both"/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2">
    <w:multiLevelType w:val="hybridMultilevel"/>
    <w:nsid w:val="2F000002"/>
    <w:tmpl w:val="48E82FA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✓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</w:abstractNum>
  <w:abstractNum w:abstractNumId="3">
    <w:multiLevelType w:val="multilevel"/>
    <w:nsid w:val="2F000003"/>
    <w:tmpl w:val="299115BD"/>
    <w:lvl w:ilvl="0">
      <w:lvlJc w:val="left"/>
      <w:numFmt w:val="lowerLetter"/>
      <w:start w:val="1"/>
      <w:suff w:val="tab"/>
      <w:pPr>
        <w:ind w:left="360" w:hanging="360"/>
        <w:jc w:val="both"/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4">
    <w:multiLevelType w:val="hybridMultilevel"/>
    <w:nsid w:val="2F000004"/>
    <w:tmpl w:val="5A2A5189"/>
    <w:lvl w:ilvl="0">
      <w:lvlJc w:val="left"/>
      <w:numFmt w:val="bullet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multilevel"/>
    <w:nsid w:val="2F000005"/>
    <w:tmpl w:val="364F388B"/>
    <w:lvl w:ilvl="0">
      <w:lvlJc w:val="left"/>
      <w:numFmt w:val="lowerLetter"/>
      <w:start w:val="1"/>
      <w:suff w:val="tab"/>
      <w:pPr>
        <w:ind w:left="36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ordWrap/>
      </w:pPr>
    </w:pPrDefault>
    <w:rPrDefault>
      <w:rPr>
        <w:color w:val="000000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  <w:style w:styleId="PO153" w:type="paragraph">
    <w:name w:val="Balloon Text"/>
    <w:basedOn w:val="PO1"/>
    <w:link w:val="PO154"/>
    <w:uiPriority w:val="153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4" w:type="character">
    <w:name w:val="Texto de globo Car"/>
    <w:basedOn w:val="PO2"/>
    <w:link w:val="PO153"/>
    <w:uiPriority w:val="154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6492</Characters>
  <CharactersWithSpaces>0</CharactersWithSpaces>
  <DocSecurity>0</DocSecurity>
  <HyperlinksChanged>false</HyperlinksChanged>
  <Lines>45</Lines>
  <LinksUpToDate>false</LinksUpToDate>
  <Pages>4</Pages>
  <Paragraphs>12</Paragraphs>
  <Words>1000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2018-04-25T22:24:00Z</dcterms:modified>
</cp:coreProperties>
</file>