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AP04-AA5-EV04: Elaboracion de Terminos de Referencia.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1. OBJETIVO GENERAL: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Diseñar y desarrollar un sistema de información que pretenda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automatizar y lograr mayor eficiencia en los procesos de inventario y facturación en la empresa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“Vidriería y Ornamentación Emanuel”.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1.1 OBJETIVOS ESPECIFICOS:</w:t>
      </w: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br/>
      </w:r>
    </w:p>
    <w:p>
      <w:pPr>
        <w:numPr>
          <w:ilvl w:val="0"/>
          <w:numId w:val="19"/>
        </w:numPr>
        <w:jc w:val="both"/>
        <w:spacing w:lineRule="auto" w:line="240" w:before="0" w:after="0"/>
        <w:widowControl w:val="1"/>
        <w:ind w:left="800" w:right="0" w:hanging="40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Recopilar la información necesaria, propia de la empresa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“Vidriería y Ornamentación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Emanuel”, con la que el equipo encargado de desarrollar el Sistema de Información se pueda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asistir y, en consecuencia, identificar la necesidad de mejora en los procesos de inventariado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y facturación de la compañia.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left="800" w:righ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18"/>
        </w:numPr>
        <w:jc w:val="both"/>
        <w:spacing w:lineRule="auto" w:line="240" w:before="0" w:after="0"/>
        <w:widowControl w:val="1"/>
        <w:ind w:left="800" w:right="0" w:hanging="40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Con el análisis de la información recopilada y ya teniendo el conocimiento de la necesidad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que se debe abordar, dejar constancia de los requerimientos que el sistema debe tener para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poder dar respuesta y/o proponer soluciones a la necesidad en cuestión.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left="800" w:righ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18"/>
        </w:numPr>
        <w:jc w:val="both"/>
        <w:spacing w:lineRule="auto" w:line="240" w:before="0" w:after="0"/>
        <w:widowControl w:val="1"/>
        <w:ind w:left="800" w:right="0" w:hanging="40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Diseñar y desarrollar el prototipo de acuerdo a la arquitectura y lineamientos propuestos.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2. FUENTES DE RECURSOS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141414"/>
          <w:sz w:val="22"/>
          <w:szCs w:val="22"/>
          <w:rFonts w:ascii="Times New Roman" w:eastAsia="Times New Roman" w:hAnsi="Times New Roman" w:hint="default"/>
        </w:rPr>
        <w:t xml:space="preserve">En este apartado se presentará una tabla que reflejará la totalidad de los recursos que la empresa </w:t>
      </w:r>
      <w:r>
        <w:rPr>
          <w:i w:val="0"/>
          <w:b w:val="0"/>
          <w:color w:val="141414"/>
          <w:sz w:val="22"/>
          <w:szCs w:val="22"/>
          <w:rFonts w:ascii="Times New Roman" w:eastAsia="Times New Roman" w:hAnsi="Times New Roman" w:hint="default"/>
        </w:rPr>
        <w:t xml:space="preserve">contratante,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“Vidriería y Ornamentación Emanuel”, suministrará al licitante que resulte adjudicado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para desarrollar el sistema de información. Los registros de la tabla muestran la información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relacionada al recurso ocupado: cuántas unidades se requieren del mismo, su valor unitario y un valor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>total.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W w:w="9024" w:type="dxa"/>
        <w:tblLook w:val="0004A0" w:firstRow="1" w:lastRow="0" w:firstColumn="1" w:lastColumn="0" w:noHBand="0" w:noVBand="1"/>
        <w:shd w:val="clear"/>
      </w:tblPr>
      <w:tblGrid>
        <w:gridCol w:w="2256"/>
        <w:gridCol w:w="2256"/>
        <w:gridCol w:w="2256"/>
        <w:gridCol w:w="2256"/>
      </w:tblGrid>
      <w:tr>
        <w:trPr/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Recurso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Unidad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 xml:space="preserve">Valor x Unidad 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 xml:space="preserve">Valor total</w:t>
            </w:r>
          </w:p>
        </w:tc>
      </w:tr>
      <w:tr>
        <w:trPr/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 xml:space="preserve">Área de 5x5 m^2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1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500.000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500.000</w:t>
            </w:r>
          </w:p>
        </w:tc>
      </w:tr>
      <w:tr>
        <w:trPr/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 xml:space="preserve">Equipos de Impresión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1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300.050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300.050</w:t>
            </w:r>
          </w:p>
        </w:tc>
      </w:tr>
      <w:tr>
        <w:trPr/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 xml:space="preserve">Equipos de Computación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2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3.200.000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6.400.000</w:t>
            </w:r>
          </w:p>
        </w:tc>
      </w:tr>
      <w:tr>
        <w:trPr/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Escritorios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2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215.000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430.000</w:t>
            </w:r>
          </w:p>
        </w:tc>
      </w:tr>
      <w:tr>
        <w:trPr/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 xml:space="preserve">Sillas ergonómicas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2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180.000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360.000</w:t>
            </w:r>
          </w:p>
        </w:tc>
      </w:tr>
      <w:tr>
        <w:trPr/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 xml:space="preserve">Valor total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7.990.050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Adicionalmente se requiere, como no, capital humano; es decir, la cantidad mínima de personas que se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encargarán en su conjunto a desarrollar el sistema de información de la empresa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“Vidriería y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Ornamentación Emanuel”.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W w:w="9024" w:type="dxa"/>
        <w:tblLook w:val="0004A0" w:firstRow="1" w:lastRow="0" w:firstColumn="1" w:lastColumn="0" w:noHBand="0" w:noVBand="1"/>
        <w:shd w:val="clear"/>
      </w:tblPr>
      <w:tblGrid>
        <w:gridCol w:w="2256"/>
        <w:gridCol w:w="2256"/>
        <w:gridCol w:w="2256"/>
        <w:gridCol w:w="2256"/>
      </w:tblGrid>
      <w:tr>
        <w:trPr/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 xml:space="preserve">Capital humano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Puestos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 xml:space="preserve">Pago mensual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 xml:space="preserve">Pago total</w:t>
            </w:r>
          </w:p>
        </w:tc>
      </w:tr>
      <w:tr>
        <w:trPr/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 xml:space="preserve">Analista de Sistemas de </w:t>
            </w: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 xml:space="preserve">Información (Idealmente </w:t>
            </w: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 xml:space="preserve">egresado del SENA)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 xml:space="preserve">dos (2)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3.600.000</w:t>
            </w:r>
          </w:p>
        </w:tc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u w:val="none"/>
                <w:highlight w:val="none"/>
                <w:smallCaps w:val="0"/>
                <w:rFonts w:ascii="Times New Roman" w:eastAsia="Times New Roman" w:hAnsi="Times New Roman" w:hint="default"/>
              </w:rPr>
              <w:t>7.200.000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3. PROPONENTES HABILITADOS O RESTRICCIONES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0"/>
          <w:b w:val="0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141414"/>
          <w:sz w:val="22"/>
          <w:szCs w:val="22"/>
          <w:rFonts w:ascii="Times New Roman" w:eastAsia="Times New Roman" w:hAnsi="Times New Roman" w:hint="default"/>
        </w:rPr>
        <w:t xml:space="preserve">Los proponentes habilitados serán aquellas personas con experiencia en el desarrollo de sistemas de </w:t>
      </w:r>
      <w:r>
        <w:rPr>
          <w:i w:val="0"/>
          <w:b w:val="0"/>
          <w:color w:val="141414"/>
          <w:sz w:val="22"/>
          <w:szCs w:val="22"/>
          <w:rFonts w:ascii="Times New Roman" w:eastAsia="Times New Roman" w:hAnsi="Times New Roman" w:hint="default"/>
        </w:rPr>
        <w:t xml:space="preserve">información, desde su identificación hasta la implementación del mismo y puesta en marcha. Además, </w:t>
      </w:r>
      <w:r>
        <w:rPr>
          <w:i w:val="0"/>
          <w:b w:val="0"/>
          <w:color w:val="141414"/>
          <w:sz w:val="22"/>
          <w:szCs w:val="22"/>
          <w:rFonts w:ascii="Times New Roman" w:eastAsia="Times New Roman" w:hAnsi="Times New Roman" w:hint="default"/>
        </w:rPr>
        <w:t xml:space="preserve">el proponente debe llevar mínimo 2 años de experiencia desarrollando proyectos informaticos y/o </w:t>
      </w:r>
      <w:r>
        <w:rPr>
          <w:i w:val="0"/>
          <w:b w:val="0"/>
          <w:color w:val="141414"/>
          <w:sz w:val="22"/>
          <w:szCs w:val="22"/>
          <w:rFonts w:ascii="Times New Roman" w:eastAsia="Times New Roman" w:hAnsi="Times New Roman" w:hint="default"/>
        </w:rPr>
        <w:t xml:space="preserve">siendo egresado del SENA (idealmente). Por último, cada integrante debe presentar una hoja de vida </w:t>
      </w:r>
      <w:r>
        <w:rPr>
          <w:i w:val="0"/>
          <w:b w:val="0"/>
          <w:color w:val="141414"/>
          <w:sz w:val="22"/>
          <w:szCs w:val="22"/>
          <w:rFonts w:ascii="Times New Roman" w:eastAsia="Times New Roman" w:hAnsi="Times New Roman" w:hint="default"/>
        </w:rPr>
        <w:t xml:space="preserve">donde se refleje sus referencias laborales, academicas y/o los proyectos que ha desarrollado </w:t>
      </w:r>
      <w:r>
        <w:rPr>
          <w:i w:val="0"/>
          <w:b w:val="0"/>
          <w:color w:val="141414"/>
          <w:sz w:val="22"/>
          <w:szCs w:val="22"/>
          <w:rFonts w:ascii="Times New Roman" w:eastAsia="Times New Roman" w:hAnsi="Times New Roman" w:hint="default"/>
        </w:rPr>
        <w:t xml:space="preserve">individualmente o en equipo.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4. IDIOMA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0"/>
          <w:color w:val="141414"/>
          <w:sz w:val="22"/>
          <w:szCs w:val="22"/>
          <w:rFonts w:ascii="Times New Roman" w:eastAsia="Times New Roman" w:hAnsi="Times New Roman" w:hint="default"/>
        </w:rPr>
        <w:t xml:space="preserve">La propuesta, y toda la negociación en su conjunto que será discutida por ambas partes, deberá ser </w:t>
      </w:r>
      <w:r>
        <w:rPr>
          <w:b w:val="0"/>
          <w:color w:val="141414"/>
          <w:sz w:val="22"/>
          <w:szCs w:val="22"/>
          <w:rFonts w:ascii="Times New Roman" w:eastAsia="Times New Roman" w:hAnsi="Times New Roman" w:hint="default"/>
        </w:rPr>
        <w:t xml:space="preserve">escrita en Español</w:t>
      </w: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5. ALCANCE DE LAS ACTIVIDADES A REALIZAR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evaluan, de principio a fin, todas las áreas y medios que se producen en todo el proceso de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elaboración del sistema de información; todas las actividades que se involucran en el manejo de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base de datos y su seguridad, un control exhaustivo del inventario y la facturación y un sitio web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actualiado, intiuitivo y amigable.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6. ENTREGABLES, HITOS O FECHAS DE ENTREGA Y DETALLE DE LOS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ENTREGABLES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La fecha de inicio de la elaboración del sistema de información comienza una semana después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firmado el contrato entre el licitante adjudicado, quien se ganó el contrato, y la empresa contratante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“Vidriería y Ornamentación Emanuel”: la interesada en una solución por medio del sistema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información a desarrollar en cuestión.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7. EQUIPO DE TRABAJO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Para tener un soporte mínimo que nos permita confiar en la integridad y las cualidades que posee cada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integrante del equipo de trabajo encargado de desarrollar el sistema de información, cada uno de ellos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debe presentar los siguientes documentos: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21"/>
        </w:numPr>
        <w:jc w:val="both"/>
        <w:spacing w:lineRule="auto" w:line="240" w:before="0" w:after="0"/>
        <w:widowControl w:val="1"/>
        <w:ind w:left="800" w:right="0" w:hanging="40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Curriculum actualizado a fecha actual que integre experiencas laborales previas.</w:t>
      </w:r>
    </w:p>
    <w:p>
      <w:pPr>
        <w:numPr>
          <w:ilvl w:val="0"/>
          <w:numId w:val="21"/>
        </w:numPr>
        <w:jc w:val="both"/>
        <w:spacing w:lineRule="auto" w:line="240" w:before="0" w:after="0"/>
        <w:widowControl w:val="1"/>
        <w:ind w:left="800" w:right="0" w:hanging="40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Documento de Identidad, reflejar ambas caras.</w:t>
      </w:r>
    </w:p>
    <w:p>
      <w:pPr>
        <w:numPr>
          <w:ilvl w:val="0"/>
          <w:numId w:val="21"/>
        </w:numPr>
        <w:jc w:val="both"/>
        <w:spacing w:lineRule="auto" w:line="240" w:before="0" w:after="0"/>
        <w:widowControl w:val="1"/>
        <w:ind w:left="800" w:right="0" w:hanging="40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Certificado Bancario.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8. DURACIÓN DEL CONTRATO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tiempo estimado para la elaboración total, de principio a fin, del sistema de información equivale a: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 año (1) calendario; esto teniendo en cuenta todos los componentes del sistema y las fases descritas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el presente documento, es decir: el diseño, programación, desarrollo, implementación e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implantación del Sistema de información. Lo dicho anteriormente, el día cero para comenzar a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trabajar en la elaboración del sistema es, justamente, después de una semana de firmado el contrato y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debe ser finaquitado en la fecha prevista.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el caso extraordinario de no culminar satisfactoriamente con la elaboración del Sistema de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información, en el tiempo pactado, se tomará la decisión conjuntamente de hacer una prorroga con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nuevos valores de contrato para definir.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9. SEDE O LOCALIZACIÓN DE LAS LABORES A REALIZAR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</w:pP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Se realizará en la Empresa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“Vidriería y Ornamentación Emanuel”, en sus oficinas, ubicada en la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Carrera 77 de la ciudad de Bogotá.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10. DOCUMENTOS A PRESENTAR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 partir del día cero de publicada la oferta laboral donde la empresa contratante solicite un licitante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para que, por concurso, se quede con el contrato de elaboración de un sistema de información; todos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los licitantes interesados tienen un plazo máximo de un (1) mes para enviar sus propuestas y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documentos requeridos para hacerse con el contrato en juego. Cada licitante interesado, en sus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propuestas, debe especificar su oferta económica, respuesta a cada una de las especificaciones del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sistema, cronograma de trabajo y recursos humanos involucrados. La totalidad de los gastos en los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que pretende incurrir cada uno de los licitantes, en sus propuestas, deben ser reflejados en la moneda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COP (en pesos colombianos).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11. PROCESO PARA SELECCIONAR AL PROVEEDOR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posible adjudicado tiene la obligación de presentar la certificación, o certificaciones totales, de sus </w:t>
      </w:r>
      <w:r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años de experiencia laboral. Lo ideal, para el hacer el proceso de filtros más llevadero, es que mínimo </w:t>
      </w:r>
      <w:r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se cuente con una experiencia laboral de tres (3) años; este es el tiempo que debe llevar, en </w:t>
      </w:r>
      <w:r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experiencias cuyo objeto social consista en la prestación de servicios para la elaboración de Sistemas </w:t>
      </w:r>
      <w:r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 Información, al momento en que se presenta como proponente. No viene mal recordar, de nuevo, </w:t>
      </w:r>
      <w:r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que se está interesado especialmente en egresados del SENA.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la información mínima que debe presentarse en la solicitud oficial, como empresa contratante </w:t>
      </w:r>
      <w:r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que requiere los servicios de otra (los licitantes en concurso), es la siguiente: </w:t>
      </w:r>
    </w:p>
    <w:p>
      <w:pPr>
        <w:numPr>
          <w:ilvl w:val="0"/>
          <w:numId w:val="22"/>
        </w:numPr>
        <w:jc w:val="both"/>
        <w:spacing w:lineRule="auto" w:line="259" w:before="0" w:after="160"/>
        <w:ind w:left="800" w:hanging="400"/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Nombre de empresa contratante.</w:t>
      </w:r>
    </w:p>
    <w:p>
      <w:pPr>
        <w:numPr>
          <w:ilvl w:val="0"/>
          <w:numId w:val="22"/>
        </w:numPr>
        <w:jc w:val="both"/>
        <w:spacing w:lineRule="auto" w:line="259" w:before="0" w:after="160"/>
        <w:ind w:left="800" w:hanging="400"/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Objeto social del contrato.</w:t>
      </w:r>
    </w:p>
    <w:p>
      <w:pPr>
        <w:numPr>
          <w:ilvl w:val="0"/>
          <w:numId w:val="22"/>
        </w:numPr>
        <w:jc w:val="both"/>
        <w:spacing w:lineRule="auto" w:line="259" w:before="0" w:after="160"/>
        <w:ind w:left="800" w:hanging="400"/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Fecha de inicio y clausura del contrato (Vigencia del contrato).</w:t>
      </w:r>
    </w:p>
    <w:p>
      <w:pPr>
        <w:numPr>
          <w:ilvl w:val="0"/>
          <w:numId w:val="22"/>
        </w:numPr>
        <w:jc w:val="both"/>
        <w:spacing w:lineRule="auto" w:line="259" w:before="0" w:after="160"/>
        <w:ind w:left="800" w:hanging="400"/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Valor del contrato.</w:t>
      </w:r>
    </w:p>
    <w:p>
      <w:pPr>
        <w:numPr>
          <w:ilvl w:val="0"/>
          <w:numId w:val="22"/>
        </w:numPr>
        <w:jc w:val="both"/>
        <w:spacing w:lineRule="auto" w:line="259" w:before="0" w:after="160"/>
        <w:ind w:left="800" w:hanging="400"/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Firma y cargo del directivo que avala el contrato.</w:t>
      </w:r>
    </w:p>
    <w:p>
      <w:pPr>
        <w:numPr>
          <w:ilvl w:val="0"/>
          <w:numId w:val="22"/>
        </w:numPr>
        <w:jc w:val="both"/>
        <w:spacing w:lineRule="auto" w:line="259" w:before="0" w:after="160"/>
        <w:ind w:left="800" w:hanging="400"/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Datos del personal proveedor de la contratación: nombre y teléfono de contacto.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 continuación, los licitantes en concurso para quedarse con el contrato: </w:t>
      </w:r>
    </w:p>
    <w:tbl>
      <w:tblID w:val="0"/>
      <w:tblPr>
        <w:tblStyle w:val="PO38"/>
        <w:tblW w:w="9035" w:type="dxa"/>
        <w:tblLook w:val="0004A0" w:firstRow="1" w:lastRow="0" w:firstColumn="1" w:lastColumn="0" w:noHBand="0" w:noVBand="1"/>
        <w:shd w:val="clear"/>
      </w:tblPr>
      <w:tblGrid>
        <w:gridCol w:w="2258"/>
        <w:gridCol w:w="2258"/>
        <w:gridCol w:w="2258"/>
        <w:gridCol w:w="2261"/>
      </w:tblGrid>
      <w:tr>
        <w:trPr>
          <w:trHeight w:hRule="atleast" w:val="574"/>
        </w:trPr>
        <w:tc>
          <w:tcPr>
            <w:tcW w:type="dxa" w:w="2258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left="0" w:firstLine="0"/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0"/>
            </w:pPr>
            <w:r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>Numero</w:t>
            </w:r>
          </w:p>
        </w:tc>
        <w:tc>
          <w:tcPr>
            <w:tcW w:type="dxa" w:w="2258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left="0" w:firstLine="0"/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0"/>
            </w:pPr>
            <w:r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>Título</w:t>
            </w:r>
          </w:p>
        </w:tc>
        <w:tc>
          <w:tcPr>
            <w:tcW w:type="dxa" w:w="2258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left="0" w:firstLine="0"/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0"/>
            </w:pPr>
            <w:r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>Experiencia</w:t>
            </w:r>
          </w:p>
        </w:tc>
        <w:tc>
          <w:tcPr>
            <w:tcW w:type="dxa" w:w="226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left="0" w:firstLine="0"/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0"/>
            </w:pPr>
            <w:r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Referencias Laborales</w:t>
            </w:r>
          </w:p>
        </w:tc>
      </w:tr>
      <w:tr>
        <w:trPr>
          <w:trHeight w:hRule="atleast" w:val="288"/>
        </w:trPr>
        <w:tc>
          <w:tcPr>
            <w:tcW w:type="dxa" w:w="2258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left="0" w:firstLine="0"/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0"/>
            </w:pPr>
            <w:r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>1.</w:t>
            </w:r>
          </w:p>
        </w:tc>
        <w:tc>
          <w:tcPr>
            <w:tcW w:type="dxa" w:w="2258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left="0" w:firstLine="0"/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0"/>
            </w:pPr>
            <w:r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Fundación de TIC</w:t>
            </w:r>
          </w:p>
        </w:tc>
        <w:tc>
          <w:tcPr>
            <w:tcW w:type="dxa" w:w="2258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left="0" w:firstLine="0"/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0"/>
            </w:pPr>
            <w:r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3 años</w:t>
            </w:r>
          </w:p>
        </w:tc>
        <w:tc>
          <w:tcPr>
            <w:tcW w:type="dxa" w:w="226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left="0" w:firstLine="0"/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0"/>
            </w:pPr>
            <w:r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No tiene</w:t>
            </w:r>
          </w:p>
        </w:tc>
      </w:tr>
      <w:tr>
        <w:trPr>
          <w:trHeight w:hRule="atleast" w:val="288"/>
        </w:trPr>
        <w:tc>
          <w:tcPr>
            <w:tcW w:type="dxa" w:w="2258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left="0" w:firstLine="0"/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0"/>
            </w:pPr>
            <w:r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>2.</w:t>
            </w:r>
          </w:p>
        </w:tc>
        <w:tc>
          <w:tcPr>
            <w:tcW w:type="dxa" w:w="2258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left="0" w:firstLine="0"/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0"/>
            </w:pPr>
            <w:r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ICM Ingenieros SAS</w:t>
            </w:r>
          </w:p>
        </w:tc>
        <w:tc>
          <w:tcPr>
            <w:tcW w:type="dxa" w:w="2258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left="0" w:firstLine="0"/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0"/>
            </w:pPr>
            <w:r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4 años</w:t>
            </w:r>
          </w:p>
        </w:tc>
        <w:tc>
          <w:tcPr>
            <w:tcW w:type="dxa" w:w="226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left="0" w:firstLine="0"/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0"/>
            </w:pPr>
            <w:r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No tiene</w:t>
            </w:r>
          </w:p>
        </w:tc>
      </w:tr>
      <w:tr>
        <w:trPr>
          <w:trHeight w:hRule="atleast" w:val="287"/>
        </w:trPr>
        <w:tc>
          <w:tcPr>
            <w:tcW w:type="dxa" w:w="2258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left="0" w:firstLine="0"/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0"/>
            </w:pPr>
            <w:r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>3.</w:t>
            </w:r>
          </w:p>
        </w:tc>
        <w:tc>
          <w:tcPr>
            <w:tcW w:type="dxa" w:w="2258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left="0" w:firstLine="0"/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0"/>
            </w:pPr>
            <w:r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Intec de la Costa SAS</w:t>
            </w:r>
          </w:p>
        </w:tc>
        <w:tc>
          <w:tcPr>
            <w:tcW w:type="dxa" w:w="2258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left="0" w:firstLine="0"/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0"/>
            </w:pPr>
            <w:r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3 años</w:t>
            </w:r>
          </w:p>
        </w:tc>
        <w:tc>
          <w:tcPr>
            <w:tcW w:type="dxa" w:w="226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left="0" w:firstLine="0"/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0"/>
            </w:pPr>
            <w:r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No tiene</w:t>
            </w:r>
          </w:p>
        </w:tc>
      </w:tr>
      <w:tr>
        <w:trPr>
          <w:trHeight w:hRule="atleast" w:val="287"/>
        </w:trPr>
        <w:tc>
          <w:tcPr>
            <w:tcW w:type="dxa" w:w="2258"/>
            <w:vAlign w:val="top"/>
            <w:shd w:val="clear" w:color="C5E0B4" w:themeColor="accent6" w:themeTint="66" w:fill="C5E0B4" w:themeFill="accent6" w:themeFillTint="66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left="0" w:firstLine="0"/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0"/>
            </w:pPr>
            <w:r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>4.</w:t>
            </w:r>
          </w:p>
        </w:tc>
        <w:tc>
          <w:tcPr>
            <w:tcW w:type="dxa" w:w="2258"/>
            <w:vAlign w:val="top"/>
            <w:shd w:val="clear" w:color="C5E0B4" w:themeColor="accent6" w:themeTint="66" w:fill="C5E0B4" w:themeFill="accent6" w:themeFillTint="66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left="0" w:firstLine="0"/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0"/>
            </w:pPr>
            <w:r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Omega Buildings SAS</w:t>
            </w:r>
          </w:p>
        </w:tc>
        <w:tc>
          <w:tcPr>
            <w:tcW w:type="dxa" w:w="2258"/>
            <w:vAlign w:val="top"/>
            <w:shd w:val="clear" w:color="C5E0B4" w:themeColor="accent6" w:themeTint="66" w:fill="C5E0B4" w:themeFill="accent6" w:themeFillTint="66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left="0" w:firstLine="0"/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0"/>
            </w:pPr>
            <w:r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5 años</w:t>
            </w:r>
          </w:p>
        </w:tc>
        <w:tc>
          <w:tcPr>
            <w:tcW w:type="dxa" w:w="2261"/>
            <w:vAlign w:val="top"/>
            <w:shd w:val="clear" w:color="C5E0B4" w:themeColor="accent6" w:themeTint="66" w:fill="C5E0B4" w:themeFill="accent6" w:themeFillTint="66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left="0" w:firstLine="0"/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0"/>
            </w:pPr>
            <w:r>
              <w:rPr>
                <w:spacing w:val="0"/>
                <w:vertAlign w:val="baseline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Ministerio de las TIC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licitante seleccionado para hacerse con el contrato y, en consecuencia, elaborar el sistema de </w:t>
      </w:r>
      <w:r>
        <w:rPr>
          <w:spacing w:val="0"/>
          <w:vertAlign w:val="baseline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información para la empresa contratante,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“Vidriería y Ornamentación Emanuel”, es el candidato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número 4: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Omega Buildings SAS.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12. FORMA DE PAGO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Son tres avances en total los que se deben entregar para dar con el proyecto final sobre la elaboración </w:t>
      </w:r>
      <w:r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del Sistema de Información; dichos avances, en su momento, deben ser aprobados satisfactoriamente; </w:t>
      </w:r>
      <w:r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por tanto, se ha acordado que se realicen 3 pagos al licitante adjudicado en la medida que logra, con </w:t>
      </w:r>
      <w:r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exito, culminar con cada avance hasta que dé con la aprobación final de todo el proyecto.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M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26065F91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1">
    <w:multiLevelType w:val="multilevel"/>
    <w:nsid w:val="2F000001"/>
    <w:tmpl w:val="526C2C31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2">
    <w:multiLevelType w:val="multilevel"/>
    <w:nsid w:val="2F000002"/>
    <w:tmpl w:val="21C95F57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3">
    <w:multiLevelType w:val="multilevel"/>
    <w:nsid w:val="2F000003"/>
    <w:tmpl w:val="51924A2E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4">
    <w:multiLevelType w:val="multilevel"/>
    <w:nsid w:val="2F000004"/>
    <w:tmpl w:val="41444CC5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5">
    <w:multiLevelType w:val="multilevel"/>
    <w:nsid w:val="2F000005"/>
    <w:tmpl w:val="510C4BE9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6">
    <w:multiLevelType w:val="multilevel"/>
    <w:nsid w:val="2F000006"/>
    <w:tmpl w:val="244BE87E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7">
    <w:multiLevelType w:val="hybridMultilevel"/>
    <w:nsid w:val="2F000007"/>
    <w:tmpl w:val="598CAAE9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8">
    <w:multiLevelType w:val="hybridMultilevel"/>
    <w:nsid w:val="2F000008"/>
    <w:tmpl w:val="4828C506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9">
    <w:multiLevelType w:val="hybridMultilevel"/>
    <w:nsid w:val="2F000009"/>
    <w:tmpl w:val="529F42D9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0">
    <w:multiLevelType w:val="hybridMultilevel"/>
    <w:nsid w:val="2F00000A"/>
    <w:tmpl w:val="3BDDEFDC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1">
    <w:multiLevelType w:val="hybridMultilevel"/>
    <w:nsid w:val="2F00000B"/>
    <w:tmpl w:val="4DAE8425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2">
    <w:multiLevelType w:val="hybridMultilevel"/>
    <w:nsid w:val="2F00000C"/>
    <w:tmpl w:val="2265D1E8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3">
    <w:multiLevelType w:val="hybridMultilevel"/>
    <w:nsid w:val="2F00000D"/>
    <w:tmpl w:val="30B7D816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4">
    <w:multiLevelType w:val="hybridMultilevel"/>
    <w:nsid w:val="2F00000E"/>
    <w:tmpl w:val="5BCB9570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5">
    <w:multiLevelType w:val="hybridMultilevel"/>
    <w:nsid w:val="2F00000F"/>
    <w:tmpl w:val="38C00B3E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6">
    <w:multiLevelType w:val="hybridMultilevel"/>
    <w:nsid w:val="2F000010"/>
    <w:tmpl w:val="2E22417A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b/>
        <w:shd w:val="clear"/>
        <w:sz w:val="24"/>
        <w:szCs w:val="24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7">
    <w:multiLevelType w:val="hybridMultilevel"/>
    <w:nsid w:val="2F000011"/>
    <w:tmpl w:val="30F8D92C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141414"/>
        <w:highlight w:val="none"/>
        <w:i/>
        <w:rFonts w:ascii="Wingdings" w:eastAsia="Wingdings" w:hAnsi="Wingdings"/>
        <w:b/>
        <w:shd w:val="clear"/>
        <w:sz w:val="20"/>
        <w:szCs w:val="20"/>
        <w:u w:val="none"/>
        <w:vertAlign w:val="subscript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8">
    <w:multiLevelType w:val="hybridMultilevel"/>
    <w:nsid w:val="2F000012"/>
    <w:tmpl w:val="477A01BF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141414"/>
        <w:rFonts w:ascii="Wingdings" w:eastAsia="Wingdings" w:hAnsi="Wingdings"/>
        <w:shd w:val="clear"/>
        <w:sz w:val="22"/>
        <w:szCs w:val="22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9">
    <w:multiLevelType w:val="hybridMultilevel"/>
    <w:nsid w:val="2F000013"/>
    <w:tmpl w:val="4108B75B"/>
    <w:lvl w:ilvl="0">
      <w:lvlJc w:val="left"/>
      <w:numFmt w:val="bullet"/>
      <w:start w:val="1"/>
      <w:suff w:val="tab"/>
      <w:pPr>
        <w:ind w:left="800" w:hanging="400"/>
        <w:jc w:val="both"/>
      </w:pPr>
      <w:rPr>
        <w:b w:val="0"/>
        <w:shd w:val="clear"/>
        <w:sz w:val="20"/>
        <w:szCs w:val="20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0">
    <w:multiLevelType w:val="hybridMultilevel"/>
    <w:nsid w:val="2F000014"/>
    <w:tmpl w:val="493DE9A5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141414"/>
        <w:rFonts w:ascii="Wingdings" w:eastAsia="Wingdings" w:hAnsi="Wingdings"/>
        <w:b w:val="0"/>
        <w:shd w:val="clear"/>
        <w:sz w:val="22"/>
        <w:szCs w:val="22"/>
        <w:u w:val="none"/>
        <w:vertAlign w:val="subscript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1">
    <w:multiLevelType w:val="hybridMultilevel"/>
    <w:nsid w:val="2F000015"/>
    <w:tmpl w:val="25B6654D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141414"/>
        <w:rFonts w:ascii="Wingdings" w:eastAsia="Wingdings" w:hAnsi="Wingdings"/>
        <w:shd w:val="clear"/>
        <w:sz w:val="22"/>
        <w:szCs w:val="22"/>
        <w:vertAlign w:val="subscript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  <w:rPr>
      <w:rFonts w:ascii="Times New Roman" w:eastAsia="Times New Roman" w:hAnsi="Times New Roman"/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3" w:type="table">
    <w:name w:val="Calendar1"/>
    <w:uiPriority w:val="143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jc w:val="both"/>
      </w:pPr>
      <w:rPr>
        <w:b/>
        <w:shd w:val="clear"/>
        <w:sz w:val="44"/>
        <w:szCs w:val="44"/>
        <w:w w:val="100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44" w:type="table">
    <w:name w:val="Calendar2"/>
    <w:qFormat/>
    <w:uiPriority w:val="144"/>
    <w:pPr>
      <w:autoSpaceDE w:val="1"/>
      <w:autoSpaceDN w:val="1"/>
      <w:jc w:val="center"/>
      <w:widowControl/>
      <w:wordWrap/>
    </w:pPr>
    <w:rPr>
      <w:shd w:val="clear"/>
      <w:sz w:val="28"/>
      <w:szCs w:val="28"/>
      <w:w w:val="100"/>
    </w:rPr>
    <w:tblPr>
      <w:tblBorders>
        <w:insideV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Row">
      <w:rPr>
        <w:caps/>
        <w:color w:val="5B9BD5" w:themeColor="accent1"/>
        <w:b w:val="0"/>
        <w:shd w:val="clear"/>
        <w:sz w:val="32"/>
        <w:szCs w:val="32"/>
        <w:w w:val="100"/>
      </w:rPr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45" w:type="table">
    <w:name w:val="Calendar3"/>
    <w:qFormat/>
    <w:uiPriority w:val="145"/>
    <w:pPr>
      <w:autoSpaceDE w:val="1"/>
      <w:autoSpaceDN w:val="1"/>
      <w:jc w:val="right"/>
      <w:widowControl/>
      <w:wordWrap/>
    </w:pPr>
    <w:rPr>
      <w:color w:val="000000" w:themeColor="text1"/>
      <w:shd w:val="clear"/>
      <w:sz w:val="22"/>
      <w:szCs w:val="22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color w:val="5B9BD5" w:themeColor="accent1"/>
        <w:shd w:val="clear"/>
        <w:sz w:val="20"/>
        <w:szCs w:val="20"/>
        <w:w w:val="100"/>
      </w:rPr>
    </w:tblStylePr>
    <w:tblStylePr w:type="firstRow">
      <w:pPr>
        <w:jc w:val="right"/>
      </w:pPr>
      <w:rPr>
        <w:color w:val="5B9BD5" w:themeColor="accent1"/>
        <w:shd w:val="clear"/>
        <w:sz w:val="44"/>
        <w:szCs w:val="44"/>
        <w:w w:val="100"/>
      </w:rPr>
    </w:tblStylePr>
    <w:tblStylePr w:type="lastCol">
      <w:rPr>
        <w:color w:val="5B9BD5" w:themeColor="accent1"/>
        <w:shd w:val="clear"/>
        <w:sz w:val="20"/>
        <w:szCs w:val="20"/>
        <w:w w:val="100"/>
      </w:rPr>
    </w:tblStylePr>
  </w:style>
  <w:style w:customStyle="1" w:styleId="PO146" w:type="table">
    <w:name w:val="Calendar4"/>
    <w:uiPriority w:val="146"/>
    <w:pPr>
      <w:autoSpaceDE w:val="1"/>
      <w:autoSpaceDN w:val="1"/>
      <w:widowControl/>
      <w:wordWrap/>
    </w:pPr>
    <w:rPr>
      <w:color w:val="FFFFFF" w:themeColor="background1"/>
      <w:b/>
      <w:shd w:val="clear"/>
      <w:sz w:val="16"/>
      <w:szCs w:val="16"/>
      <w:w w:val="100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1E4D78" w:themeFill="accent1" w:themeFillShade="7F" w:color="000000" w:val="clear"/>
    </w:tcPr>
    <w:tblStylePr w:type="band1Horz">
      <w:rPr>
        <w:shd w:val="clear"/>
        <w:sz w:val="16"/>
        <w:szCs w:val="16"/>
        <w:w w:val="100"/>
      </w:rPr>
    </w:tblStylePr>
    <w:tblStylePr w:type="band2Horz">
      <w:rPr>
        <w:shd w:val="clear"/>
        <w:sz w:val="40"/>
        <w:szCs w:val="40"/>
        <w:w w:val="100"/>
      </w:rPr>
      <w:tcPr>
        <w:tcMar>
          <w:bottom w:type="dxa" w:w="86"/>
          <w:left w:type="nil" w:w="115"/>
          <w:right w:type="dxa" w:w="115"/>
          <w:top w:type="dxa" w:w="0"/>
        </w:tcMar>
      </w:tcPr>
    </w:tblStylePr>
    <w:tblStylePr w:type="firstCol">
      <w:pPr>
        <w:ind w:right="144" w:firstLine="0"/>
        <w:jc w:val="right"/>
      </w:pPr>
      <w:rPr>
        <w:b/>
        <w:shd w:val="clear"/>
        <w:sz w:val="72"/>
        <w:szCs w:val="72"/>
        <w:w w:val="100"/>
      </w:rPr>
    </w:tblStylePr>
    <w:tblStylePr w:type="firstRow">
      <w:rPr>
        <w:shd w:val="clear"/>
        <w:sz w:val="8"/>
        <w:szCs w:val="8"/>
        <w:w w:val="100"/>
      </w:rPr>
    </w:tblStylePr>
    <w:tblStylePr w:type="nwCell">
      <w:rPr>
        <w:shd w:val="clear"/>
        <w:sz w:val="8"/>
        <w:szCs w:val="8"/>
        <w:w w:val="100"/>
      </w:rPr>
    </w:tblStylePr>
  </w:style>
  <w:style w:styleId="PO147" w:type="table">
    <w:name w:val="LightShading-Accent1"/>
    <w:uiPriority w:val="147"/>
    <w:pPr>
      <w:autoSpaceDE w:val="1"/>
      <w:autoSpaceDN w:val="1"/>
      <w:widowControl/>
      <w:wordWrap/>
    </w:pPr>
    <w:rPr>
      <w:color w:val="3584CB" w:themeColor="accent1" w:themeShade="D8"/>
      <w:shd w:val="clear"/>
      <w:sz w:val="22"/>
      <w:szCs w:val="22"/>
      <w:w w:val="100"/>
    </w:rPr>
    <w:tblPr>
      <w:tblBorders>
        <w:bottom w:val="single" w:color="5B9BD5" w:themeColor="accent1" w:sz="8"/>
        <w:top w:val="single" w:color="5B9BD5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</w:style>
  <w:style w:styleId="PO148" w:type="table">
    <w:name w:val="MediumShading2-Accent5"/>
    <w:uiPriority w:val="148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D7D7" w:themeFill="background1" w:themeFillShade="D7" w:color="000000" w:val="clear"/>
      </w:tcPr>
    </w:tblStylePr>
    <w:tblStylePr w:type="band1Vert">
      <w:tcPr>
        <w:shd w:fill="D7D7D7" w:themeFill="background1" w:themeFillShade="D7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  <w:sz w:val="20"/>
        <w:szCs w:val="20"/>
        <w:w w:val="100"/>
      </w:rPr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149" w:type="table">
    <w:name w:val="LightList"/>
    <w:uiPriority w:val="149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styleId="PO150" w:type="table">
    <w:name w:val="LightList-Accent3"/>
    <w:uiPriority w:val="150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Borders>
        <w:bottom w:val="single" w:color="A5A5A5" w:themeColor="accent3" w:sz="8"/>
        <w:left w:val="single" w:color="A5A5A5" w:themeColor="accent3" w:sz="8"/>
        <w:right w:val="single" w:color="A5A5A5" w:themeColor="accent3" w:sz="8"/>
        <w:top w:val="single" w:color="A5A5A5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band1Vert"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double" w:color="A5A5A5" w:themeColor="accent3" w:sz="8"/>
        </w:tcBorders>
      </w:tcPr>
    </w:tblStylePr>
  </w:style>
  <w:style w:styleId="PO151" w:type="table">
    <w:name w:val="MediumList2-Accent1"/>
    <w:uiPriority w:val="151"/>
    <w:pPr>
      <w:autoSpaceDE w:val="1"/>
      <w:autoSpaceDN w:val="1"/>
      <w:widowControl/>
      <w:wordWrap/>
    </w:pPr>
    <w:rPr>
      <w:color w:val="000000" w:themeColor="text1"/>
      <w:shd w:val="clear"/>
      <w:sz w:val="22"/>
      <w:szCs w:val="22"/>
      <w:w w:val="100"/>
    </w:rPr>
    <w:tblPr>
      <w:tblBorders>
        <w:bottom w:val="single" w:color="5B9BD5" w:themeColor="accent1" w:sz="8"/>
        <w:left w:val="single" w:color="5B9BD5" w:themeColor="accent1" w:sz="8"/>
        <w:right w:val="single" w:color="5B9BD5" w:themeColor="accent1" w:sz="8"/>
        <w:top w:val="single" w:color="5B9BD5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7F5" w:themeFill="accent1" w:themeFillTint="3E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5B9BD5" w:themeColor="accent1" w:sz="8"/>
          <w:top w:val="nil"/>
        </w:tcBorders>
      </w:tcPr>
    </w:tblStylePr>
    <w:tblStylePr w:type="firstRow">
      <w:rPr>
        <w:shd w:val="clear"/>
        <w:sz w:val="24"/>
        <w:szCs w:val="24"/>
        <w:w w:val="100"/>
      </w:rPr>
      <w:tcPr>
        <w:shd w:fill="FFFFFF" w:themeFill="background1" w:color="000000" w:val="clear"/>
        <w:tcBorders>
          <w:bottom w:val="single" w:color="5B9BD5" w:themeColor="accen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cPr>
        <w:shd w:fill="FFFFFF" w:themeFill="background1" w:color="000000" w:val="clear"/>
        <w:tcBorders>
          <w:bottom w:val="nil"/>
          <w:insideH w:val="nil"/>
          <w:insideV w:val="nil"/>
          <w:left w:val="single" w:color="5B9BD5" w:themeColor="accent1" w:sz="8"/>
          <w:right w:val="nil"/>
          <w:top w:val="nil"/>
        </w:tcBorders>
      </w:tcPr>
    </w:tblStylePr>
    <w:tblStylePr w:type="lastRow"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  <w:tblStylePr w:type="nwCell">
      <w:tcPr>
        <w:shd w:fill="FFFFFF" w:themeFill="background1" w:color="000000" w:val="clear"/>
      </w:tcPr>
    </w:tblStylePr>
    <w:tblStylePr w:type="swCell"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