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rPr>
          <w:color w:val="00ffff"/>
        </w:rPr>
      </w:pPr>
      <w:r w:rsidDel="00000000" w:rsidR="00000000" w:rsidRPr="00000000">
        <w:rPr>
          <w:b w:val="1"/>
          <w:color w:val="00ffff"/>
          <w:rtl w:val="0"/>
        </w:rPr>
        <w:t xml:space="preserve">California </w:t>
      </w:r>
      <w:r w:rsidDel="00000000" w:rsidR="00000000" w:rsidRPr="00000000">
        <w:rPr>
          <w:b w:val="1"/>
          <w:color w:val="00ffff"/>
          <w:rtl w:val="0"/>
        </w:rPr>
        <w:t xml:space="preserve">Coercion and Cover-Up Act (Outline)</w:t>
      </w:r>
      <w:r w:rsidDel="00000000" w:rsidR="00000000" w:rsidRPr="00000000">
        <w:rPr>
          <w:color w:val="00ffff"/>
          <w:rtl w:val="0"/>
        </w:rPr>
        <w:t xml:space="preser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This law combines and modifies the </w:t>
      </w:r>
      <w:hyperlink r:id="rId7">
        <w:r w:rsidDel="00000000" w:rsidR="00000000" w:rsidRPr="00000000">
          <w:rPr>
            <w:color w:val="00ffff"/>
            <w:u w:val="single"/>
            <w:rtl w:val="0"/>
          </w:rPr>
          <w:t xml:space="preserve">New York Coercion Laws</w:t>
        </w:r>
      </w:hyperlink>
      <w:r w:rsidDel="00000000" w:rsidR="00000000" w:rsidRPr="00000000">
        <w:rPr>
          <w:rtl w:val="0"/>
        </w:rPr>
        <w:t xml:space="preserve"> (specifically New York Penal Law Section 135.60, 135.65, and 135.75) with a broader definition of a cover-up under California’s </w:t>
      </w:r>
      <w:hyperlink r:id="rId8">
        <w:r w:rsidDel="00000000" w:rsidR="00000000" w:rsidRPr="00000000">
          <w:rPr>
            <w:color w:val="00ffff"/>
            <w:u w:val="single"/>
            <w:rtl w:val="0"/>
          </w:rPr>
          <w:t xml:space="preserve">Sexual Abuse and Cover-Up Accountability Act</w:t>
        </w:r>
      </w:hyperlink>
      <w:r w:rsidDel="00000000" w:rsidR="00000000" w:rsidRPr="00000000">
        <w:rPr>
          <w:rtl w:val="0"/>
        </w:rPr>
        <w:t xml:space="preserve"> (AB 2777). Changes from the New York Extortion Laws, AB 2777, or other laws (e.g., pre-AB 2777 statute of limitations in California) are underlined:</w:t>
      </w:r>
    </w:p>
    <w:p w:rsidR="00000000" w:rsidDel="00000000" w:rsidP="00000000" w:rsidRDefault="00000000" w:rsidRPr="00000000" w14:paraId="00000003">
      <w:pPr>
        <w:numPr>
          <w:ilvl w:val="0"/>
          <w:numId w:val="1"/>
        </w:numPr>
        <w:ind w:left="720" w:hanging="360"/>
        <w:rPr/>
      </w:pPr>
      <w:commentRangeStart w:id="0"/>
      <w:commentRangeStart w:id="1"/>
      <w:commentRangeStart w:id="2"/>
      <w:commentRangeStart w:id="3"/>
      <w:r w:rsidDel="00000000" w:rsidR="00000000" w:rsidRPr="00000000">
        <w:rPr>
          <w:rtl w:val="0"/>
        </w:rPr>
        <w:t xml:space="preserve">We aim to enhance protections against coercive tactics that force individuals to withhold testimony or information for legal matters. We are currently addressing critical issues regarding coercion and witness protection laws. By doing so, we hope to align California's laws to better safeguard the rights of victims and witnesses. In contrast, New York law provides clearer definitions of coercion, including protections against the fear of physical injury, property damage, and the withholding of testimony. It is inclusive of “or another will.”</w:t>
        <w:br w:type="textWrapping"/>
        <w:t xml:space="preserve">Additionally, federal regulations exist to address altering of records after an intentional cover-up.</w:t>
        <w:br w:type="textWrapping"/>
        <w:t xml:space="preserve">One of the main challenges is that California lacks specific laws that define the elements of coercion and witness interference. This legal gap has allowed individuals in industries to exploit these ambiguities related to Hollywood.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br w:type="textWrapping"/>
      </w:r>
      <w:commentRangeStart w:id="4"/>
      <w:commentRangeStart w:id="5"/>
      <w:commentRangeStart w:id="6"/>
      <w:r w:rsidDel="00000000" w:rsidR="00000000" w:rsidRPr="00000000">
        <w:rPr>
          <w:rtl w:val="0"/>
        </w:rPr>
        <w:t xml:space="preserve">This difference highlights the urgent need for California to strengthen its legal framework.</w:t>
      </w:r>
      <w:commentRangeEnd w:id="0"/>
      <w:r w:rsidDel="00000000" w:rsidR="00000000" w:rsidRPr="00000000">
        <w:commentReference w:id="0"/>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color w:val="00ffff"/>
          <w:rtl w:val="0"/>
        </w:rPr>
        <w:t xml:space="preserve">Third Degree Coercion:</w:t>
      </w:r>
      <w:r w:rsidDel="00000000" w:rsidR="00000000" w:rsidRPr="00000000">
        <w:rPr>
          <w:rtl w:val="0"/>
        </w:rPr>
        <w:t xml:space="preserve"> When a person compels or induces a person to engage in conduct which the latter has a legal right to abstain from engaging in, or to abstain from engaging in conduct in which he or she has a legal right to engage, or compels or induces a person to join a group, organization or criminal enterprise which such latter person has a right to abstain from joining, or compels or induces a person to produce, disseminate, or otherwise display an image or images depicting nudity of such person or depicting such person engaged in sexual conduct as defined in subdivisions two and three of </w:t>
      </w:r>
      <w:r w:rsidDel="00000000" w:rsidR="00000000" w:rsidRPr="00000000">
        <w:rPr>
          <w:u w:val="single"/>
          <w:rtl w:val="0"/>
        </w:rPr>
        <w:t xml:space="preserve">New York Penal Law Section</w:t>
      </w:r>
      <w:r w:rsidDel="00000000" w:rsidR="00000000" w:rsidRPr="00000000">
        <w:rPr>
          <w:rtl w:val="0"/>
        </w:rPr>
        <w:t xml:space="preserve"> 235.20, by means of instilling in him or her a fear that, if the demand is not complied with, the actor or another will:</w:t>
      </w:r>
      <w:r w:rsidDel="00000000" w:rsidR="00000000" w:rsidRPr="00000000">
        <w:rPr>
          <w:rtl w:val="0"/>
        </w:rPr>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Cause physical injury to a person; or</w:t>
      </w:r>
      <w:r w:rsidDel="00000000" w:rsidR="00000000" w:rsidRPr="00000000">
        <w:rPr>
          <w:rtl w:val="0"/>
        </w:rPr>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Cause damage to property; or</w:t>
      </w:r>
      <w:r w:rsidDel="00000000" w:rsidR="00000000" w:rsidRPr="00000000">
        <w:rPr>
          <w:rtl w:val="0"/>
        </w:rPr>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Engage in other conduct constituting a crime; or</w:t>
      </w:r>
      <w:r w:rsidDel="00000000" w:rsidR="00000000" w:rsidRPr="00000000">
        <w:rPr>
          <w:rtl w:val="0"/>
        </w:rPr>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Accuse some person of a crime or cause criminal charges to be instituted against him or her; or</w:t>
      </w:r>
      <w:r w:rsidDel="00000000" w:rsidR="00000000" w:rsidRPr="00000000">
        <w:rPr>
          <w:rtl w:val="0"/>
        </w:rPr>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Expose a secret or publicize an asserted fact, whether true or false, tending to subject some person to hatred, contempt or ridicule; or</w:t>
      </w:r>
      <w:r w:rsidDel="00000000" w:rsidR="00000000" w:rsidRPr="00000000">
        <w:rPr>
          <w:rtl w:val="0"/>
        </w:rPr>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Cause a strike, boycott or other collective labor group action injurious to some person’s business; except that such a threat shall not be deemed coercive when the act or omission compelled is for the benefit of the group in whose interest the actor purports to act; or</w:t>
      </w:r>
      <w:r w:rsidDel="00000000" w:rsidR="00000000" w:rsidRPr="00000000">
        <w:rPr>
          <w:rtl w:val="0"/>
        </w:rPr>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Testify or provide information or withhold testimony or information with respect to another’s legal claim or defense; or</w:t>
      </w:r>
      <w:r w:rsidDel="00000000" w:rsidR="00000000" w:rsidRPr="00000000">
        <w:rPr>
          <w:rtl w:val="0"/>
        </w:rPr>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Use or abuse his or her position as a public servant by performing some act within or related to his or her official duties, or by failing or refusing to perform an official duty, in such manner as to affect some person adversely; or</w:t>
      </w:r>
      <w:r w:rsidDel="00000000" w:rsidR="00000000" w:rsidRPr="00000000">
        <w:rPr>
          <w:rtl w:val="0"/>
        </w:rPr>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Perform any other act which would not in itself materially benefit the actor but which is calculated to harm another person materially with respect to his or her health, safety, business, calling, career, financial condition, reputation or personal relationships.</w:t>
      </w:r>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Report his or her immigration status or suspected immigration status.</w:t>
      </w:r>
    </w:p>
    <w:p w:rsidR="00000000" w:rsidDel="00000000" w:rsidP="00000000" w:rsidRDefault="00000000" w:rsidRPr="00000000" w14:paraId="0000000F">
      <w:pPr>
        <w:numPr>
          <w:ilvl w:val="1"/>
          <w:numId w:val="1"/>
        </w:numPr>
        <w:ind w:left="1440" w:hanging="360"/>
        <w:rPr>
          <w:u w:val="none"/>
        </w:rPr>
      </w:pPr>
      <w:r w:rsidDel="00000000" w:rsidR="00000000" w:rsidRPr="00000000">
        <w:rPr>
          <w:color w:val="00ffff"/>
          <w:rtl w:val="0"/>
        </w:rPr>
        <w:t xml:space="preserve">Second Degree Coercion</w:t>
      </w:r>
      <w:r w:rsidDel="00000000" w:rsidR="00000000" w:rsidRPr="00000000">
        <w:rPr>
          <w:rtl w:val="0"/>
        </w:rPr>
        <w:t xml:space="preserve">: When a person compels another person to engage or refrain from engaging in lawful conduct by instilling a fear </w:t>
      </w:r>
      <w:r w:rsidDel="00000000" w:rsidR="00000000" w:rsidRPr="00000000">
        <w:rPr>
          <w:u w:val="single"/>
          <w:rtl w:val="0"/>
        </w:rPr>
        <w:t xml:space="preserve">from that person or another action</w:t>
      </w:r>
      <w:r w:rsidDel="00000000" w:rsidR="00000000" w:rsidRPr="00000000">
        <w:rPr>
          <w:rtl w:val="0"/>
        </w:rPr>
        <w:t xml:space="preserve"> of</w:t>
      </w:r>
    </w:p>
    <w:p w:rsidR="00000000" w:rsidDel="00000000" w:rsidP="00000000" w:rsidRDefault="00000000" w:rsidRPr="00000000" w14:paraId="00000010">
      <w:pPr>
        <w:numPr>
          <w:ilvl w:val="2"/>
          <w:numId w:val="1"/>
        </w:numPr>
        <w:spacing w:after="0" w:afterAutospacing="0" w:lineRule="auto"/>
        <w:ind w:left="2160" w:hanging="360"/>
        <w:rPr>
          <w:sz w:val="22"/>
          <w:szCs w:val="22"/>
        </w:rPr>
      </w:pPr>
      <w:r w:rsidDel="00000000" w:rsidR="00000000" w:rsidRPr="00000000">
        <w:rPr>
          <w:rtl w:val="0"/>
        </w:rPr>
        <w:t xml:space="preserve">Physical injury;</w:t>
      </w:r>
    </w:p>
    <w:p w:rsidR="00000000" w:rsidDel="00000000" w:rsidP="00000000" w:rsidRDefault="00000000" w:rsidRPr="00000000" w14:paraId="00000011">
      <w:pPr>
        <w:numPr>
          <w:ilvl w:val="2"/>
          <w:numId w:val="1"/>
        </w:numPr>
        <w:spacing w:after="0" w:afterAutospacing="0" w:lineRule="auto"/>
        <w:ind w:left="2160" w:hanging="360"/>
        <w:rPr>
          <w:sz w:val="22"/>
          <w:szCs w:val="22"/>
        </w:rPr>
      </w:pPr>
      <w:r w:rsidDel="00000000" w:rsidR="00000000" w:rsidRPr="00000000">
        <w:rPr>
          <w:rtl w:val="0"/>
        </w:rPr>
        <w:t xml:space="preserve">Damage to property;</w:t>
      </w:r>
    </w:p>
    <w:p w:rsidR="00000000" w:rsidDel="00000000" w:rsidP="00000000" w:rsidRDefault="00000000" w:rsidRPr="00000000" w14:paraId="00000012">
      <w:pPr>
        <w:numPr>
          <w:ilvl w:val="2"/>
          <w:numId w:val="1"/>
        </w:numPr>
        <w:spacing w:after="0" w:afterAutospacing="0" w:lineRule="auto"/>
        <w:ind w:left="2160" w:hanging="360"/>
        <w:rPr>
          <w:sz w:val="22"/>
          <w:szCs w:val="22"/>
        </w:rPr>
      </w:pPr>
      <w:r w:rsidDel="00000000" w:rsidR="00000000" w:rsidRPr="00000000">
        <w:rPr>
          <w:rtl w:val="0"/>
        </w:rPr>
        <w:t xml:space="preserve">Other crimes against the victim or another;</w:t>
      </w:r>
    </w:p>
    <w:p w:rsidR="00000000" w:rsidDel="00000000" w:rsidP="00000000" w:rsidRDefault="00000000" w:rsidRPr="00000000" w14:paraId="00000013">
      <w:pPr>
        <w:numPr>
          <w:ilvl w:val="2"/>
          <w:numId w:val="1"/>
        </w:numPr>
        <w:spacing w:after="0" w:afterAutospacing="0" w:lineRule="auto"/>
        <w:ind w:left="2160" w:hanging="360"/>
        <w:rPr>
          <w:sz w:val="22"/>
          <w:szCs w:val="22"/>
        </w:rPr>
      </w:pPr>
      <w:r w:rsidDel="00000000" w:rsidR="00000000" w:rsidRPr="00000000">
        <w:rPr>
          <w:rtl w:val="0"/>
        </w:rPr>
        <w:t xml:space="preserve">Criminal accusations against the victim or</w:t>
      </w:r>
      <w:hyperlink r:id="rId9">
        <w:r w:rsidDel="00000000" w:rsidR="00000000" w:rsidRPr="00000000">
          <w:rPr>
            <w:rtl w:val="0"/>
          </w:rPr>
          <w:t xml:space="preserve"> </w:t>
        </w:r>
      </w:hyperlink>
      <w:r w:rsidDel="00000000" w:rsidR="00000000" w:rsidRPr="00000000">
        <w:rPr>
          <w:rtl w:val="0"/>
        </w:rPr>
        <w:t xml:space="preserve">prosecution of charges</w:t>
      </w:r>
      <w:r w:rsidDel="00000000" w:rsidR="00000000" w:rsidRPr="00000000">
        <w:rPr>
          <w:rtl w:val="0"/>
        </w:rPr>
        <w:t xml:space="preserve"> against the victim or another;</w:t>
      </w:r>
    </w:p>
    <w:p w:rsidR="00000000" w:rsidDel="00000000" w:rsidP="00000000" w:rsidRDefault="00000000" w:rsidRPr="00000000" w14:paraId="00000014">
      <w:pPr>
        <w:numPr>
          <w:ilvl w:val="2"/>
          <w:numId w:val="1"/>
        </w:numPr>
        <w:spacing w:after="0" w:afterAutospacing="0" w:lineRule="auto"/>
        <w:ind w:left="2160" w:hanging="360"/>
        <w:rPr>
          <w:sz w:val="22"/>
          <w:szCs w:val="22"/>
        </w:rPr>
      </w:pPr>
      <w:r w:rsidDel="00000000" w:rsidR="00000000" w:rsidRPr="00000000">
        <w:rPr>
          <w:rtl w:val="0"/>
        </w:rPr>
        <w:t xml:space="preserve">Exposing a secret about the victim or another subjecting him or her to "hatred, contempt or ridicule";</w:t>
      </w:r>
    </w:p>
    <w:p w:rsidR="00000000" w:rsidDel="00000000" w:rsidP="00000000" w:rsidRDefault="00000000" w:rsidRPr="00000000" w14:paraId="00000015">
      <w:pPr>
        <w:numPr>
          <w:ilvl w:val="2"/>
          <w:numId w:val="1"/>
        </w:numPr>
        <w:spacing w:after="0" w:afterAutospacing="0" w:lineRule="auto"/>
        <w:ind w:left="2160" w:hanging="360"/>
        <w:rPr>
          <w:sz w:val="22"/>
          <w:szCs w:val="22"/>
        </w:rPr>
      </w:pPr>
      <w:r w:rsidDel="00000000" w:rsidR="00000000" w:rsidRPr="00000000">
        <w:rPr>
          <w:rtl w:val="0"/>
        </w:rPr>
        <w:t xml:space="preserve">A boycott or other collective action against the victim's business unless the action is for the benefit of the group's interest;</w:t>
      </w:r>
    </w:p>
    <w:p w:rsidR="00000000" w:rsidDel="00000000" w:rsidP="00000000" w:rsidRDefault="00000000" w:rsidRPr="00000000" w14:paraId="00000016">
      <w:pPr>
        <w:numPr>
          <w:ilvl w:val="2"/>
          <w:numId w:val="1"/>
        </w:numPr>
        <w:spacing w:after="0" w:afterAutospacing="0" w:lineRule="auto"/>
        <w:ind w:left="2160" w:hanging="360"/>
        <w:rPr>
          <w:sz w:val="22"/>
          <w:szCs w:val="22"/>
        </w:rPr>
      </w:pPr>
      <w:commentRangeStart w:id="7"/>
      <w:commentRangeStart w:id="8"/>
      <w:commentRangeStart w:id="9"/>
      <w:commentRangeStart w:id="10"/>
      <w:commentRangeStart w:id="11"/>
      <w:commentRangeStart w:id="12"/>
      <w:commentRangeStart w:id="13"/>
      <w:commentRangeStart w:id="14"/>
      <w:commentRangeStart w:id="15"/>
      <w:commentRangeStart w:id="16"/>
      <w:r w:rsidDel="00000000" w:rsidR="00000000" w:rsidRPr="00000000">
        <w:rPr>
          <w:u w:val="single"/>
          <w:rtl w:val="0"/>
        </w:rPr>
        <w:t xml:space="preserve">Testimony against the victim</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u w:val="single"/>
          <w:rtl w:val="0"/>
        </w:rPr>
        <w:t xml:space="preserve"> or Witholding testinomy or information in respect to another’s legal claim or defense;</w:t>
      </w:r>
    </w:p>
    <w:p w:rsidR="00000000" w:rsidDel="00000000" w:rsidP="00000000" w:rsidRDefault="00000000" w:rsidRPr="00000000" w14:paraId="00000017">
      <w:pPr>
        <w:numPr>
          <w:ilvl w:val="2"/>
          <w:numId w:val="1"/>
        </w:numPr>
        <w:spacing w:after="0" w:afterAutospacing="0" w:lineRule="auto"/>
        <w:ind w:left="2160" w:hanging="360"/>
        <w:rPr>
          <w:sz w:val="22"/>
          <w:szCs w:val="22"/>
        </w:rPr>
      </w:pPr>
      <w:r w:rsidDel="00000000" w:rsidR="00000000" w:rsidRPr="00000000">
        <w:rPr>
          <w:rtl w:val="0"/>
        </w:rPr>
        <w:t xml:space="preserve">An official position being used to harm the victim or another;</w:t>
      </w:r>
    </w:p>
    <w:p w:rsidR="00000000" w:rsidDel="00000000" w:rsidP="00000000" w:rsidRDefault="00000000" w:rsidRPr="00000000" w14:paraId="00000018">
      <w:pPr>
        <w:numPr>
          <w:ilvl w:val="2"/>
          <w:numId w:val="1"/>
        </w:numPr>
        <w:spacing w:after="0" w:afterAutospacing="0" w:lineRule="auto"/>
        <w:ind w:left="2160" w:hanging="360"/>
        <w:rPr>
          <w:sz w:val="22"/>
          <w:szCs w:val="22"/>
        </w:rPr>
      </w:pPr>
      <w:r w:rsidDel="00000000" w:rsidR="00000000" w:rsidRPr="00000000">
        <w:rPr>
          <w:rtl w:val="0"/>
        </w:rPr>
        <w:t xml:space="preserve">Any other act calculated to harm the victim's health, safety, business, calling, career, financial condition, reputation or personal relationships.</w:t>
      </w:r>
    </w:p>
    <w:p w:rsidR="00000000" w:rsidDel="00000000" w:rsidP="00000000" w:rsidRDefault="00000000" w:rsidRPr="00000000" w14:paraId="00000019">
      <w:pPr>
        <w:numPr>
          <w:ilvl w:val="1"/>
          <w:numId w:val="1"/>
        </w:numPr>
        <w:ind w:left="1440" w:hanging="360"/>
        <w:rPr>
          <w:u w:val="none"/>
        </w:rPr>
      </w:pPr>
      <w:r w:rsidDel="00000000" w:rsidR="00000000" w:rsidRPr="00000000">
        <w:rPr>
          <w:color w:val="00ffff"/>
          <w:rtl w:val="0"/>
        </w:rPr>
        <w:t xml:space="preserve">First Degree Coercion:</w:t>
      </w:r>
      <w:r w:rsidDel="00000000" w:rsidR="00000000" w:rsidRPr="00000000">
        <w:rPr>
          <w:rtl w:val="0"/>
        </w:rPr>
        <w:t xml:space="preserve"> When a person, having committed second-degree coercion, </w:t>
      </w:r>
      <w:r w:rsidDel="00000000" w:rsidR="00000000" w:rsidRPr="00000000">
        <w:rPr>
          <w:u w:val="single"/>
          <w:rtl w:val="0"/>
        </w:rPr>
        <w:t xml:space="preserve">or another actor</w:t>
      </w:r>
      <w:r w:rsidDel="00000000" w:rsidR="00000000" w:rsidRPr="00000000">
        <w:rPr>
          <w:rtl w:val="0"/>
        </w:rPr>
        <w:t xml:space="preserve"> actually instilled in the victim a fear of physical injury or property damage, or induced the victim to:</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Commit or attempt to commit a felony;</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Cause or attempt to cause physical injury to another person; or</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Violate his or her duty as a public servant.</w:t>
      </w:r>
    </w:p>
    <w:p w:rsidR="00000000" w:rsidDel="00000000" w:rsidP="00000000" w:rsidRDefault="00000000" w:rsidRPr="00000000" w14:paraId="0000001D">
      <w:pPr>
        <w:numPr>
          <w:ilvl w:val="1"/>
          <w:numId w:val="1"/>
        </w:numPr>
        <w:ind w:left="1440" w:hanging="360"/>
        <w:rPr>
          <w:u w:val="none"/>
        </w:rPr>
      </w:pPr>
      <w:r w:rsidDel="00000000" w:rsidR="00000000" w:rsidRPr="00000000">
        <w:rPr>
          <w:color w:val="00ffff"/>
          <w:rtl w:val="0"/>
        </w:rPr>
        <w:t xml:space="preserve">Cover-Up:</w:t>
      </w:r>
      <w:r w:rsidDel="00000000" w:rsidR="00000000" w:rsidRPr="00000000">
        <w:rPr>
          <w:rtl w:val="0"/>
        </w:rPr>
        <w:t xml:space="preserve"> A </w:t>
      </w:r>
      <w:r w:rsidDel="00000000" w:rsidR="00000000" w:rsidRPr="00000000">
        <w:rPr>
          <w:u w:val="single"/>
          <w:rtl w:val="0"/>
        </w:rPr>
        <w:t xml:space="preserve">deliberate</w:t>
      </w:r>
      <w:r w:rsidDel="00000000" w:rsidR="00000000" w:rsidRPr="00000000">
        <w:rPr>
          <w:rtl w:val="0"/>
        </w:rPr>
        <w:t xml:space="preserve"> effort to hide evidence, information, and testimony relating to (a) in respect to another’s legal claim or defense, (b) an assault, a sexual assault </w:t>
      </w:r>
      <w:r w:rsidDel="00000000" w:rsidR="00000000" w:rsidRPr="00000000">
        <w:rPr>
          <w:u w:val="single"/>
          <w:rtl w:val="0"/>
        </w:rPr>
        <w:t xml:space="preserve">or other sexual misconduct that does ONE of the following:</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incentivizes individuals</w:t>
      </w:r>
      <w:r w:rsidDel="00000000" w:rsidR="00000000" w:rsidRPr="00000000">
        <w:rPr>
          <w:rtl w:val="0"/>
        </w:rPr>
        <w:t xml:space="preserve"> to be silent and refrain from lawful conduct</w:t>
      </w:r>
      <w:r w:rsidDel="00000000" w:rsidR="00000000" w:rsidRPr="00000000">
        <w:rPr>
          <w:rtl w:val="0"/>
        </w:rPr>
        <w:t xml:space="preserve"> and having public documentation of the acts</w:t>
      </w:r>
    </w:p>
    <w:p w:rsidR="00000000" w:rsidDel="00000000" w:rsidP="00000000" w:rsidRDefault="00000000" w:rsidRPr="00000000" w14:paraId="0000001F">
      <w:pPr>
        <w:numPr>
          <w:ilvl w:val="2"/>
          <w:numId w:val="1"/>
        </w:numPr>
        <w:ind w:left="2160" w:hanging="360"/>
        <w:rPr/>
      </w:pPr>
      <w:r w:rsidDel="00000000" w:rsidR="00000000" w:rsidRPr="00000000">
        <w:rPr>
          <w:u w:val="single"/>
          <w:rtl w:val="0"/>
        </w:rPr>
        <w:t xml:space="preserve">enacts </w:t>
      </w:r>
      <w:r w:rsidDel="00000000" w:rsidR="00000000" w:rsidRPr="00000000">
        <w:rPr>
          <w:u w:val="single"/>
          <w:rtl w:val="0"/>
        </w:rPr>
        <w:t xml:space="preserve">Destruction, Alteration, or Falsification of Records </w:t>
      </w:r>
      <w:r w:rsidDel="00000000" w:rsidR="00000000" w:rsidRPr="00000000">
        <w:rPr>
          <w:u w:val="single"/>
          <w:rtl w:val="0"/>
        </w:rPr>
        <w:t xml:space="preserve">in respect to coercion of the victim, a witness, or another or the cover-up of conduct related to a legal claim or defense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prevents information relating to another’s legal claim or defense, an act of coercion, assault, sexual assault or misconduct from being in testimony, in reports, in legal claims</w:t>
      </w:r>
      <w:r w:rsidDel="00000000" w:rsidR="00000000" w:rsidRPr="00000000">
        <w:rPr>
          <w:rtl w:val="0"/>
        </w:rPr>
        <w:t xml:space="preserve"> or public documents</w:t>
      </w:r>
      <w:r w:rsidDel="00000000" w:rsidR="00000000" w:rsidRPr="00000000">
        <w:rPr>
          <w:rtl w:val="0"/>
        </w:rPr>
        <w:t xml:space="preserve">, </w:t>
      </w:r>
      <w:r w:rsidDel="00000000" w:rsidR="00000000" w:rsidRPr="00000000">
        <w:rPr>
          <w:rtl w:val="0"/>
        </w:rPr>
        <w:t xml:space="preserve">communicated to others, </w:t>
      </w:r>
      <w:r w:rsidDel="00000000" w:rsidR="00000000" w:rsidRPr="00000000">
        <w:rPr>
          <w:rtl w:val="0"/>
        </w:rPr>
        <w:t xml:space="preserve">or being disclosed to the plaintiff or </w:t>
      </w:r>
      <w:r w:rsidDel="00000000" w:rsidR="00000000" w:rsidRPr="00000000">
        <w:rPr>
          <w:rtl w:val="0"/>
        </w:rPr>
        <w:t xml:space="preserve">in another’s legal claim</w:t>
      </w:r>
      <w:r w:rsidDel="00000000" w:rsidR="00000000" w:rsidRPr="00000000">
        <w:rPr>
          <w:rtl w:val="0"/>
        </w:rPr>
      </w:r>
    </w:p>
    <w:p w:rsidR="00000000" w:rsidDel="00000000" w:rsidP="00000000" w:rsidRDefault="00000000" w:rsidRPr="00000000" w14:paraId="00000021">
      <w:pPr>
        <w:numPr>
          <w:ilvl w:val="2"/>
          <w:numId w:val="1"/>
        </w:numPr>
        <w:ind w:left="2160" w:hanging="360"/>
        <w:rPr>
          <w:u w:val="none"/>
        </w:rPr>
      </w:pPr>
      <w:r w:rsidDel="00000000" w:rsidR="00000000" w:rsidRPr="00000000">
        <w:rPr>
          <w:u w:val="single"/>
          <w:rtl w:val="0"/>
        </w:rPr>
        <w:t xml:space="preserve">uses</w:t>
      </w:r>
      <w:r w:rsidDel="00000000" w:rsidR="00000000" w:rsidRPr="00000000">
        <w:rPr>
          <w:rtl w:val="0"/>
        </w:rPr>
        <w:t xml:space="preserve"> nondisclosure agreements, confidentiality agreements, or agreements to cover-up acts, not to the exclusion of promised benefits</w:t>
      </w:r>
      <w:r w:rsidDel="00000000" w:rsidR="00000000" w:rsidRPr="00000000">
        <w:rPr>
          <w:rtl w:val="0"/>
        </w:rPr>
      </w:r>
    </w:p>
    <w:p w:rsidR="00000000" w:rsidDel="00000000" w:rsidP="00000000" w:rsidRDefault="00000000" w:rsidRPr="00000000" w14:paraId="00000022">
      <w:pPr>
        <w:numPr>
          <w:ilvl w:val="2"/>
          <w:numId w:val="1"/>
        </w:numPr>
        <w:ind w:left="2160" w:hanging="360"/>
        <w:rPr/>
      </w:pPr>
      <w:r w:rsidDel="00000000" w:rsidR="00000000" w:rsidRPr="00000000">
        <w:rPr>
          <w:u w:val="single"/>
          <w:rtl w:val="0"/>
        </w:rPr>
        <w:t xml:space="preserve">performs Acts involving Interstate Communications, Travel in Aid of Cover-Up, Destruction, Alteration, or Falsification of Records, Obstruction of Justice, Tampering with a Witness, Victim, or Informant,</w:t>
      </w:r>
    </w:p>
    <w:p w:rsidR="00000000" w:rsidDel="00000000" w:rsidP="00000000" w:rsidRDefault="00000000" w:rsidRPr="00000000" w14:paraId="00000023">
      <w:pPr>
        <w:numPr>
          <w:ilvl w:val="2"/>
          <w:numId w:val="1"/>
        </w:numPr>
        <w:ind w:left="2160" w:hanging="360"/>
        <w:rPr/>
      </w:pPr>
      <w:r w:rsidDel="00000000" w:rsidR="00000000" w:rsidRPr="00000000">
        <w:rPr>
          <w:u w:val="single"/>
          <w:rtl w:val="0"/>
        </w:rPr>
        <w:t xml:space="preserve">Similar to: 18 U.S.C. § 1519, 18 U.S.C. § 1512(b)(1) and (2), 18 U.S.C. § 1952</w:t>
      </w:r>
      <w:r w:rsidDel="00000000" w:rsidR="00000000" w:rsidRPr="00000000">
        <w:rPr>
          <w:rtl w:val="0"/>
        </w:rPr>
      </w:r>
    </w:p>
    <w:p w:rsidR="00000000" w:rsidDel="00000000" w:rsidP="00000000" w:rsidRDefault="00000000" w:rsidRPr="00000000" w14:paraId="00000024">
      <w:pPr>
        <w:numPr>
          <w:ilvl w:val="3"/>
          <w:numId w:val="1"/>
        </w:numPr>
        <w:ind w:left="2880" w:hanging="360"/>
        <w:rPr>
          <w:i w:val="1"/>
        </w:rPr>
      </w:pPr>
      <w:r w:rsidDel="00000000" w:rsidR="00000000" w:rsidRPr="00000000">
        <w:rPr>
          <w:i w:val="1"/>
          <w:rtl w:val="0"/>
        </w:rPr>
        <w:t xml:space="preserve">Unlike in the previous definition, the first and third points were required, whereas this version needs just one of them or the fourth bullet point to hold.</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If coercion in the first, second, or third degree or a cover-up as specified above has been committed against the plaintiff, they can bring a case against the perpetrator in court in whichever state the acts took place.</w:t>
      </w:r>
    </w:p>
    <w:p w:rsidR="00000000" w:rsidDel="00000000" w:rsidP="00000000" w:rsidRDefault="00000000" w:rsidRPr="00000000" w14:paraId="00000026">
      <w:pPr>
        <w:numPr>
          <w:ilvl w:val="2"/>
          <w:numId w:val="1"/>
        </w:numPr>
        <w:ind w:left="2160" w:hanging="360"/>
        <w:rPr>
          <w:i w:val="1"/>
        </w:rPr>
      </w:pPr>
      <w:commentRangeStart w:id="17"/>
      <w:r w:rsidDel="00000000" w:rsidR="00000000" w:rsidRPr="00000000">
        <w:rPr>
          <w:i w:val="1"/>
          <w:rtl w:val="0"/>
        </w:rPr>
        <w:t xml:space="preserve">Even if related victims, witnesses, and legal claims or defenses reside in multiple states, the claims can be pursued even if initiated in, related to, or from California, inclusive of by another actor.</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Unlike in AB 2777, a cover-up is not exclusive to a civil offense.</w:t>
      </w:r>
    </w:p>
    <w:p w:rsidR="00000000" w:rsidDel="00000000" w:rsidP="00000000" w:rsidRDefault="00000000" w:rsidRPr="00000000" w14:paraId="00000028">
      <w:pPr>
        <w:numPr>
          <w:ilvl w:val="1"/>
          <w:numId w:val="1"/>
        </w:numPr>
        <w:ind w:left="1440" w:hanging="360"/>
        <w:rPr>
          <w:u w:val="none"/>
        </w:rPr>
      </w:pPr>
      <w:commentRangeStart w:id="18"/>
      <w:r w:rsidDel="00000000" w:rsidR="00000000" w:rsidRPr="00000000">
        <w:rPr>
          <w:rtl w:val="0"/>
        </w:rPr>
        <w:t xml:space="preserve">(A) Civil lawsuits can be brought forward with this law in addition to relating personal injuries and lost property, inclusively, as well as to damages in respect to another’s legal claim or defense.</w:t>
      </w:r>
      <w:commentRangeEnd w:id="18"/>
      <w:r w:rsidDel="00000000" w:rsidR="00000000" w:rsidRPr="00000000">
        <w:commentReference w:id="18"/>
      </w:r>
      <w:r w:rsidDel="00000000" w:rsidR="00000000" w:rsidRPr="00000000">
        <w:rPr>
          <w:rtl w:val="0"/>
        </w:rPr>
        <w:br w:type="textWrapping"/>
        <w:t xml:space="preserve">(B) In criminal codes, like in New York, there is first degree coercion, a class D felony punishable by a sentence of at least </w:t>
      </w:r>
      <w:r w:rsidDel="00000000" w:rsidR="00000000" w:rsidRPr="00000000">
        <w:rPr>
          <w:u w:val="single"/>
          <w:rtl w:val="0"/>
        </w:rPr>
        <w:t xml:space="preserve">7</w:t>
      </w:r>
      <w:r w:rsidDel="00000000" w:rsidR="00000000" w:rsidRPr="00000000">
        <w:rPr>
          <w:rtl w:val="0"/>
        </w:rPr>
        <w:t xml:space="preserve"> to </w:t>
      </w:r>
      <w:r w:rsidDel="00000000" w:rsidR="00000000" w:rsidRPr="00000000">
        <w:rPr>
          <w:u w:val="single"/>
          <w:rtl w:val="0"/>
        </w:rPr>
        <w:t xml:space="preserve">10</w:t>
      </w:r>
      <w:r w:rsidDel="00000000" w:rsidR="00000000" w:rsidRPr="00000000">
        <w:rPr>
          <w:rtl w:val="0"/>
        </w:rPr>
        <w:t xml:space="preserve"> years in prison. In addition, the court may impose a fine which is the greater of </w:t>
      </w:r>
      <w:r w:rsidDel="00000000" w:rsidR="00000000" w:rsidRPr="00000000">
        <w:rPr>
          <w:u w:val="single"/>
          <w:rtl w:val="0"/>
        </w:rPr>
        <w:t xml:space="preserve">$10,000</w:t>
      </w:r>
      <w:r w:rsidDel="00000000" w:rsidR="00000000" w:rsidRPr="00000000">
        <w:rPr>
          <w:rtl w:val="0"/>
        </w:rPr>
        <w:t xml:space="preserve">, double the amount of the defendant's gain from commission of the crime, </w:t>
      </w:r>
      <w:r w:rsidDel="00000000" w:rsidR="00000000" w:rsidRPr="00000000">
        <w:rPr>
          <w:u w:val="single"/>
          <w:rtl w:val="0"/>
        </w:rPr>
        <w:t xml:space="preserve">or a more appropriate figure determined by a judge or jury</w:t>
      </w:r>
      <w:r w:rsidDel="00000000" w:rsidR="00000000" w:rsidRPr="00000000">
        <w:rPr>
          <w:rtl w:val="0"/>
        </w:rPr>
        <w:t xml:space="preserv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Like in the New York Extortion Laws, second and third degree coercion remain class A misdemeanors and are punishable by a sentence of up to </w:t>
      </w:r>
      <w:r w:rsidDel="00000000" w:rsidR="00000000" w:rsidRPr="00000000">
        <w:rPr>
          <w:u w:val="single"/>
          <w:rtl w:val="0"/>
        </w:rPr>
        <w:t xml:space="preserve">5</w:t>
      </w:r>
      <w:r w:rsidDel="00000000" w:rsidR="00000000" w:rsidRPr="00000000">
        <w:rPr>
          <w:rtl w:val="0"/>
        </w:rPr>
        <w:t xml:space="preserve"> years in prison, a fine of up to </w:t>
      </w:r>
      <w:r w:rsidDel="00000000" w:rsidR="00000000" w:rsidRPr="00000000">
        <w:rPr>
          <w:u w:val="single"/>
          <w:rtl w:val="0"/>
        </w:rPr>
        <w:t xml:space="preserve">$5,000 or a more appropriate figure determined by a judge or jury</w:t>
      </w:r>
      <w:r w:rsidDel="00000000" w:rsidR="00000000" w:rsidRPr="00000000">
        <w:rPr>
          <w:rtl w:val="0"/>
        </w:rPr>
        <w:t xml:space="preserve">, or both.</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Even if the victim</w:t>
      </w:r>
      <w:commentRangeStart w:id="19"/>
      <w:r w:rsidDel="00000000" w:rsidR="00000000" w:rsidRPr="00000000">
        <w:rPr>
          <w:rtl w:val="0"/>
        </w:rPr>
        <w:t xml:space="preserve"> or another</w:t>
      </w:r>
      <w:commentRangeEnd w:id="19"/>
      <w:r w:rsidDel="00000000" w:rsidR="00000000" w:rsidRPr="00000000">
        <w:commentReference w:id="19"/>
      </w:r>
      <w:r w:rsidDel="00000000" w:rsidR="00000000" w:rsidRPr="00000000">
        <w:rPr>
          <w:rtl w:val="0"/>
        </w:rPr>
        <w:t xml:space="preserve"> cannot pay for a</w:t>
      </w:r>
      <w:commentRangeStart w:id="20"/>
      <w:r w:rsidDel="00000000" w:rsidR="00000000" w:rsidRPr="00000000">
        <w:rPr>
          <w:rtl w:val="0"/>
        </w:rPr>
        <w:t xml:space="preserve"> civil </w:t>
      </w:r>
      <w:commentRangeEnd w:id="20"/>
      <w:r w:rsidDel="00000000" w:rsidR="00000000" w:rsidRPr="00000000">
        <w:commentReference w:id="20"/>
      </w:r>
      <w:r w:rsidDel="00000000" w:rsidR="00000000" w:rsidRPr="00000000">
        <w:rPr>
          <w:rtl w:val="0"/>
        </w:rPr>
        <w:t xml:space="preserve">trial or to withstand the coercion with respect to their legal claims or defense, the court is still obligated to pursue and prosecute the perpetrator</w:t>
      </w:r>
      <w:commentRangeStart w:id="21"/>
      <w:r w:rsidDel="00000000" w:rsidR="00000000" w:rsidRPr="00000000">
        <w:rPr>
          <w:rtl w:val="0"/>
        </w:rPr>
        <w:t xml:space="preserve">s</w:t>
      </w:r>
      <w:commentRangeEnd w:id="21"/>
      <w:r w:rsidDel="00000000" w:rsidR="00000000" w:rsidRPr="00000000">
        <w:commentReference w:id="21"/>
      </w:r>
      <w:r w:rsidDel="00000000" w:rsidR="00000000" w:rsidRPr="00000000">
        <w:rPr>
          <w:rtl w:val="0"/>
        </w:rPr>
        <w:t xml:space="preserve"> to the extent of this and any other applicable law.</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The statute of limitations on all these crimes is the broadest of the following periods: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within </w:t>
      </w:r>
      <w:r w:rsidDel="00000000" w:rsidR="00000000" w:rsidRPr="00000000">
        <w:rPr>
          <w:u w:val="single"/>
          <w:rtl w:val="0"/>
        </w:rPr>
        <w:t xml:space="preserve">twenty</w:t>
      </w:r>
      <w:r w:rsidDel="00000000" w:rsidR="00000000" w:rsidRPr="00000000">
        <w:rPr>
          <w:rtl w:val="0"/>
        </w:rPr>
        <w:t xml:space="preserve"> years of the perpetrator’s last act </w:t>
      </w:r>
      <w:r w:rsidDel="00000000" w:rsidR="00000000" w:rsidRPr="00000000">
        <w:rPr>
          <w:u w:val="single"/>
          <w:rtl w:val="0"/>
        </w:rPr>
        <w:t xml:space="preserve">of</w:t>
      </w:r>
      <w:commentRangeStart w:id="22"/>
      <w:commentRangeStart w:id="23"/>
      <w:commentRangeStart w:id="24"/>
      <w:commentRangeStart w:id="25"/>
      <w:commentRangeStart w:id="26"/>
      <w:commentRangeStart w:id="27"/>
      <w:r w:rsidDel="00000000" w:rsidR="00000000" w:rsidRPr="00000000">
        <w:rPr>
          <w:u w:val="single"/>
          <w:rtl w:val="0"/>
        </w:rPr>
        <w:t xml:space="preserve"> cover-up with respect to</w:t>
      </w:r>
      <w:r w:rsidDel="00000000" w:rsidR="00000000" w:rsidRPr="00000000">
        <w:rPr>
          <w:rtl w:val="0"/>
        </w:rPr>
        <w:t xml:space="preserve"> the victim</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or another's attempted or existing legal claim or defense, inclusive of witnesses and assaults, with an act of coercion against the victim or another which benefit the actor or another.</w:t>
      </w:r>
    </w:p>
    <w:p w:rsidR="00000000" w:rsidDel="00000000" w:rsidP="00000000" w:rsidRDefault="00000000" w:rsidRPr="00000000" w14:paraId="0000002D">
      <w:pPr>
        <w:numPr>
          <w:ilvl w:val="3"/>
          <w:numId w:val="1"/>
        </w:numPr>
        <w:ind w:left="2880" w:hanging="360"/>
        <w:rPr/>
      </w:pPr>
      <w:r w:rsidDel="00000000" w:rsidR="00000000" w:rsidRPr="00000000">
        <w:rPr>
          <w:u w:val="single"/>
          <w:rtl w:val="0"/>
        </w:rPr>
        <w:t xml:space="preserve">A benefit does not need to be received exclusively by the actor, but can be for another actor, inclusively.</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within </w:t>
      </w:r>
      <w:r w:rsidDel="00000000" w:rsidR="00000000" w:rsidRPr="00000000">
        <w:rPr>
          <w:u w:val="single"/>
          <w:rtl w:val="0"/>
        </w:rPr>
        <w:t xml:space="preserve">ten</w:t>
      </w:r>
      <w:r w:rsidDel="00000000" w:rsidR="00000000" w:rsidRPr="00000000">
        <w:rPr>
          <w:rtl w:val="0"/>
        </w:rPr>
        <w:t xml:space="preserve"> years from the date that the victim discovered or reasonably should have discovered an injury or illness that resulted from those harmful acts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within a </w:t>
      </w:r>
      <w:r w:rsidDel="00000000" w:rsidR="00000000" w:rsidRPr="00000000">
        <w:rPr>
          <w:u w:val="single"/>
          <w:rtl w:val="0"/>
        </w:rPr>
        <w:t xml:space="preserve">five-year window</w:t>
      </w:r>
      <w:r w:rsidDel="00000000" w:rsidR="00000000" w:rsidRPr="00000000">
        <w:rPr>
          <w:rtl w:val="0"/>
        </w:rPr>
        <w:t xml:space="preserve"> after this law is enacted </w:t>
      </w:r>
      <w:r w:rsidDel="00000000" w:rsidR="00000000" w:rsidRPr="00000000">
        <w:rPr>
          <w:u w:val="single"/>
          <w:rtl w:val="0"/>
        </w:rPr>
        <w:t xml:space="preserve">regardless of when the initial crime took place</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Unlike AB 2777, this act covers “claims that were brought against a public entity, claims that have been litigated to finality in a court of competent jurisdiction before January 1, 2020, and any claims that have been compromised by a written settlement agreement between the parties entered into before January 1, 2020.”</w:t>
        <w:br w:type="textWrapping"/>
      </w:r>
      <w:commentRangeStart w:id="28"/>
      <w:commentRangeStart w:id="29"/>
      <w:r w:rsidDel="00000000" w:rsidR="00000000" w:rsidRPr="00000000">
        <w:rPr>
          <w:rtl w:val="0"/>
        </w:rPr>
        <w:t xml:space="preserve">(c) Coercion, applicable to this law, effectively makes forced settlements and forced declarations,</w:t>
      </w:r>
      <w:r w:rsidDel="00000000" w:rsidR="00000000" w:rsidRPr="00000000">
        <w:rPr>
          <w:i w:val="1"/>
          <w:rtl w:val="0"/>
        </w:rPr>
        <w:t xml:space="preserve"> inclusive of affidavits not filed in court</w:t>
      </w:r>
      <w:r w:rsidDel="00000000" w:rsidR="00000000" w:rsidRPr="00000000">
        <w:rPr>
          <w:rtl w:val="0"/>
        </w:rPr>
        <w:t xml:space="preserve">, null and void, allowing victims to pursue their claims.</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1">
      <w:pPr>
        <w:numPr>
          <w:ilvl w:val="1"/>
          <w:numId w:val="1"/>
        </w:numPr>
        <w:ind w:left="1440" w:hanging="360"/>
        <w:rPr/>
      </w:pPr>
      <w:commentRangeStart w:id="30"/>
      <w:commentRangeStart w:id="31"/>
      <w:commentRangeStart w:id="32"/>
      <w:commentRangeStart w:id="33"/>
      <w:commentRangeStart w:id="34"/>
      <w:r w:rsidDel="00000000" w:rsidR="00000000" w:rsidRPr="00000000">
        <w:rPr>
          <w:rtl w:val="0"/>
        </w:rPr>
        <w:t xml:space="preserve">Any detail that isn’t specified here is elaborated further in AB 2777 and the New York Laws themselves</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tina Taft" w:id="30" w:date="2024-09-13T09:35:2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put a criminal section and a civil section</w:t>
      </w:r>
    </w:p>
  </w:comment>
  <w:comment w:author="Autumn Mystic" w:id="31" w:date="2024-09-25T06:13:32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I asked for more guidance on this over email.</w:t>
      </w:r>
    </w:p>
  </w:comment>
  <w:comment w:author="Christina Taft" w:id="32" w:date="2024-09-25T07:23:08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remove this: January 1, 2020, and any claims that have been compromised by a written settlement agreement between the parties entered into before January 1, 2020.”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faulty part of the AB law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law can be used civilly and criminally</w:t>
      </w:r>
    </w:p>
  </w:comment>
  <w:comment w:author="Autumn Mystic" w:id="33" w:date="2024-09-25T13:01:1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clarify, i'm aware that this is an issue with AB 2777. the previous bullet point actually removes that faulty section, making it clear that it doesn't apply.</w:t>
      </w:r>
    </w:p>
  </w:comment>
  <w:comment w:author="Autumn Mystic" w:id="34" w:date="2024-09-25T13:04:1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AB 2777 doesn't cover these so-called compromised claims that were settled before 2020, this act extends coverage to include them to protect more people.</w:t>
      </w:r>
    </w:p>
  </w:comment>
  <w:comment w:author="Christina Taft" w:id="1" w:date="2024-09-26T17:16:4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to the beginning to explain the problem more definitely, further, editing to make people also in Hollywood understand it, e.g., by saying industries Related to Hollywood -- this can include the investigative, security, film, music, and multiple industries</w:t>
      </w:r>
    </w:p>
  </w:comment>
  <w:comment w:author="Christina Taft" w:id="2" w:date="2024-09-26T17:29:1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altering of records is missing in the NY law and is a main issue of the cover-ups</w:t>
      </w:r>
    </w:p>
  </w:comment>
  <w:comment w:author="Christina Taft" w:id="3" w:date="2024-09-26T17:36:2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federal laws address "intentional" which gets lost in California when they do not define the elements of what 'intentional' coercion would entail, and it's why victims/witnesses feel so threatened</w:t>
      </w:r>
    </w:p>
  </w:comment>
  <w:comment w:author="Christina Taft" w:id="4" w:date="2024-09-26T17:16:4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to the beginning to explain the problem more definitely, further, editing to make people also in Hollywood understand it, e.g., by saying industries Related to Hollywood -- this can include the investigative, security, film, music, and multiple industries</w:t>
      </w:r>
    </w:p>
  </w:comment>
  <w:comment w:author="Christina Taft" w:id="5" w:date="2024-09-26T17:29:1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altering of records is missing in the NY law and is a main issue of the cover-ups</w:t>
      </w:r>
    </w:p>
  </w:comment>
  <w:comment w:author="Christina Taft" w:id="6" w:date="2024-09-26T17:36:2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federal laws address "intentional" which gets lost in California when they do not define the elements of what 'intentional' coercion would entail, and it's why victims/witnesses feel so threatened</w:t>
      </w:r>
    </w:p>
  </w:comment>
  <w:comment w:author="Christina Taft" w:id="20" w:date="2024-09-26T17:59:4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trials, victims are never required to pay criminal trials. The issue is they've kept this under 'civil' so it only benefits hundreds of millions or billionaires (and also harms them in paying)</w:t>
      </w:r>
    </w:p>
  </w:comment>
  <w:comment w:author="Christina Taft" w:id="0" w:date="2024-09-26T17:44:0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there's some kind of highlight here I cannot remove</w:t>
      </w:r>
    </w:p>
  </w:comment>
  <w:comment w:author="Christina Taft" w:id="21" w:date="2024-09-26T18:07:3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PLURAL</w:t>
      </w:r>
    </w:p>
  </w:comment>
  <w:comment w:author="Christina Taft" w:id="18" w:date="2024-09-26T17:56:26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and "B" for A being Civil and B being criminal codes... moreover "(A) Civil lawsuits can be brought forward with this law in addition to relating personal injuries and lost property, inclusively, as well as to damages in respect to another’s legal claim or defense."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enact severe penalties and remove the profitability of cover ups to destroy legal claims or defense where they cannot bring in new evidence in CIVIL claims in appellate courts.</w:t>
      </w:r>
    </w:p>
  </w:comment>
  <w:comment w:author="Christina Taft" w:id="7" w:date="2024-09-13T09:31:0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Withholding testimony and information related to a legal claim or defense ??</w:t>
      </w:r>
    </w:p>
  </w:comment>
  <w:comment w:author="Christina Taft" w:id="8" w:date="2024-09-13T09:51:4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the issue is the link you used. The law firm specifically erased that part of the law. It's more accurate to use the current coercion law code from the newyork public website: https://newyork.public.law/laws/n.y._penal_law_section_135.60</w:t>
      </w:r>
    </w:p>
  </w:comment>
  <w:comment w:author="Autumn Mystic" w:id="9" w:date="2024-09-25T05:55:3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utumn Mystic" w:id="10" w:date="2024-09-25T05:57:2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Should I add more content from Third Degree Coercion or just leave this section as is?</w:t>
      </w:r>
    </w:p>
  </w:comment>
  <w:comment w:author="Christina Taft" w:id="11" w:date="2024-09-25T07:08:0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should show the entire coercion law, including "if another actor will" and "in respect to a legal claim or defense."</w:t>
      </w:r>
    </w:p>
  </w:comment>
  <w:comment w:author="Autumn Mystic" w:id="12" w:date="2024-09-25T12:51:56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third degree coercion as in section 135.60, and I gave second and third degree coercion the same punishment parameters since both are class A misdemeanors. Also, "in respect to a legal claim or defense" is alread there, but where should I include "if another actor will"?</w:t>
      </w:r>
    </w:p>
  </w:comment>
  <w:comment w:author="Christina Taft" w:id="13" w:date="2024-09-25T18:14:1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another actor will" should be related to all of these elements of the coercion law, similarly to how NY wrote it. However, it can also be re-emphasized especially about testimony.</w:t>
      </w:r>
    </w:p>
  </w:comment>
  <w:comment w:author="Autumn Mystic" w:id="14" w:date="2024-09-25T21:58:48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 copied the text of the 165.60 for third degree coercion, which is why " the actor or another will" is there now. The other two degrees don't specify who is doing what but only that the fear is there. Should I edit them further?</w:t>
      </w:r>
    </w:p>
  </w:comment>
  <w:comment w:author="Christina Taft" w:id="15" w:date="2024-09-26T03:00:21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degrees should include that it can be directly from the actor or another, the issue is California has nothing about coordinated intimidation</w:t>
      </w:r>
    </w:p>
  </w:comment>
  <w:comment w:author="Autumn Mystic" w:id="16" w:date="2024-09-26T10:28:32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fair. i added underlined "another actor" caveats in the other two degrees. are these sufficient?</w:t>
      </w:r>
    </w:p>
  </w:comment>
  <w:comment w:author="Christina Taft" w:id="17" w:date="2024-09-26T18:25:5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work or they'll understand it</w:t>
      </w:r>
    </w:p>
  </w:comment>
  <w:comment w:author="Christina Taft" w:id="28" w:date="2024-09-26T18:36:0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the letter for (c)</w:t>
      </w:r>
    </w:p>
  </w:comment>
  <w:comment w:author="Christina Taft" w:id="29" w:date="2024-09-26T18:37:5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Coercion, applicable to this law, effectively makes forced settlements and forced declarations, inclusive of affidavits not filed in court, null and void, allowing victims to pursue their claims.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include the false witness affidavits they force signing of to then threaten perjury for not taking a payment</w:t>
      </w:r>
    </w:p>
  </w:comment>
  <w:comment w:author="Christina Taft" w:id="19" w:date="2024-09-26T18:10:53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"or another" not just the filing victim. E.g., that's where the 'falsus in uno, falsus in omnibus comes from" by connecting ALL victims to ANOTHER SINGLE victim that they target.</w:t>
      </w:r>
    </w:p>
  </w:comment>
  <w:comment w:author="Christina Taft" w:id="22" w:date="2024-09-13T09:34:36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just be sexually related, it should be in respect to another’s legal claim or defense(a), e.g., reporting the injury (d)</w:t>
      </w:r>
    </w:p>
  </w:comment>
  <w:comment w:author="Autumn Mystic" w:id="23" w:date="2024-09-25T12:59:3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since i included cover-up in that list, could our previous additions be wrapped into this implicitly?</w:t>
      </w:r>
    </w:p>
  </w:comment>
  <w:comment w:author="Christina Taft" w:id="24" w:date="2024-09-25T18:18:5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start "intent to commit an act of coercion, assault, sexual assault, misconduct," or cover-up against the victim Comment end  or another with respect to their attempted or existing legal claim or defense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seems repetitive here and 'intent' i think relates to the California cover up section, however, that's manipulated through bookkeeping/communications etc. In New York, they wrote that it would Benefit the actor or another... I think you should put that there instead rather than 'intent' to cover-up.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did AB 2777, it was written by very few people with very little testimony allowed, so likely this was a defensive/reactionary action, rather than focused on the perpetrator.</w:t>
      </w:r>
    </w:p>
  </w:comment>
  <w:comment w:author="Autumn Mystic" w:id="25" w:date="2024-09-25T22:08:1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 edited "or another" to be "or merely with benefit to the perpetrator or another actor". Should I remove "intent to commit an act of coercion, assault, sexual assault, misconduct, or cover-up against the victim"? I know you said it can be problematic, but it should be less constraining now that you only need that or the benefit part.</w:t>
      </w:r>
    </w:p>
  </w:comment>
  <w:comment w:author="Christina Taft" w:id="26" w:date="2024-09-26T05:13:59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twenty years of the last act of cover-up with respect to the victim or another's attempted or existing legal claim or defense, inclusive of witnesses and assaults, with an act of coercion against the victim or another which benefit the actor or another.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benefit does not need to be received exclusively by the actor, but can be for another actor, inclusively.</w:t>
      </w:r>
    </w:p>
  </w:comment>
  <w:comment w:author="Autumn Mystic" w:id="27" w:date="2024-09-26T10:32:0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all that verbatim!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ffffff"/>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fffff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indlaw.com/criminal/criminal-charge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ndlaw.com/state/new-york-law/new-york-extortion-laws.html" TargetMode="External"/><Relationship Id="rId8" Type="http://schemas.openxmlformats.org/officeDocument/2006/relationships/hyperlink" Target="https://www.forthepeople.com/blog/california-updates-sexual-abuse-and-cover-accountability-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