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6743D" w14:textId="5211084A" w:rsidR="00A84784" w:rsidRDefault="00AC04D4">
      <w:r>
        <w:rPr>
          <w:b/>
          <w:bCs/>
          <w:sz w:val="28"/>
          <w:szCs w:val="28"/>
        </w:rPr>
        <w:t>Some</w:t>
      </w:r>
      <w:r w:rsidR="00A84784" w:rsidRPr="00A84784">
        <w:rPr>
          <w:b/>
          <w:bCs/>
          <w:sz w:val="28"/>
          <w:szCs w:val="28"/>
        </w:rPr>
        <w:t xml:space="preserve"> Fixer </w:t>
      </w:r>
      <w:r w:rsidR="00861175">
        <w:rPr>
          <w:b/>
          <w:bCs/>
          <w:sz w:val="28"/>
          <w:szCs w:val="28"/>
        </w:rPr>
        <w:t xml:space="preserve">Investigative </w:t>
      </w:r>
      <w:r>
        <w:rPr>
          <w:b/>
          <w:bCs/>
          <w:sz w:val="28"/>
          <w:szCs w:val="28"/>
        </w:rPr>
        <w:t>Contradicting</w:t>
      </w:r>
      <w:r w:rsidR="00A84784" w:rsidRPr="00A84784">
        <w:rPr>
          <w:b/>
          <w:bCs/>
          <w:sz w:val="28"/>
          <w:szCs w:val="28"/>
        </w:rPr>
        <w:t xml:space="preserve"> Terms</w:t>
      </w:r>
      <w:r w:rsidR="00A84784" w:rsidRPr="00A84784">
        <w:rPr>
          <w:b/>
          <w:bCs/>
          <w:sz w:val="28"/>
          <w:szCs w:val="28"/>
        </w:rPr>
        <w:br/>
      </w:r>
      <w:r w:rsidR="00A84784" w:rsidRPr="00A84784">
        <w:rPr>
          <w:b/>
          <w:bCs/>
        </w:rPr>
        <w:br/>
        <w:t>Subject:</w:t>
      </w:r>
      <w:r w:rsidR="00A84784">
        <w:t xml:space="preserve"> A subject is the focus of an investigation. A witness can become a subject.</w:t>
      </w:r>
      <w:r w:rsidR="00A84784">
        <w:br/>
      </w:r>
      <w:r w:rsidR="00A84784" w:rsidRPr="00A84784">
        <w:rPr>
          <w:b/>
          <w:bCs/>
        </w:rPr>
        <w:t>Potential Witness:</w:t>
      </w:r>
      <w:r w:rsidR="00A84784">
        <w:t xml:space="preserve"> A witness </w:t>
      </w:r>
      <w:r w:rsidR="00A87BA2">
        <w:t>to</w:t>
      </w:r>
      <w:r w:rsidR="00A84784">
        <w:t xml:space="preserve"> a fixer is mostly “potential witness”</w:t>
      </w:r>
      <w:r w:rsidR="00A84784">
        <w:br/>
      </w:r>
      <w:r w:rsidR="00A84784" w:rsidRPr="00A84784">
        <w:rPr>
          <w:b/>
          <w:bCs/>
        </w:rPr>
        <w:t>Dealings for:</w:t>
      </w:r>
      <w:r w:rsidR="00A84784">
        <w:t xml:space="preserve"> CALI PI Association states “dealings for”</w:t>
      </w:r>
    </w:p>
    <w:p w14:paraId="0477C5D8" w14:textId="41BDE75E" w:rsidR="00FB2485" w:rsidRPr="007C58A5" w:rsidRDefault="00A84784" w:rsidP="00FB2485">
      <w:pPr>
        <w:rPr>
          <w:rFonts w:ascii="Arial" w:hAnsi="Arial" w:cs="Arial"/>
          <w:color w:val="202122"/>
          <w:sz w:val="15"/>
          <w:szCs w:val="15"/>
          <w:vertAlign w:val="superscript"/>
        </w:rPr>
      </w:pPr>
      <w:r w:rsidRPr="00A84784">
        <w:rPr>
          <w:b/>
          <w:bCs/>
        </w:rPr>
        <w:t>Cases:</w:t>
      </w:r>
      <w:r>
        <w:t xml:space="preserve"> Anyone’s cases whether civil, criminal, or not litigated</w:t>
      </w:r>
      <w:r>
        <w:br/>
      </w:r>
      <w:r>
        <w:br/>
      </w:r>
      <w:r w:rsidRPr="00A84784">
        <w:rPr>
          <w:b/>
          <w:bCs/>
        </w:rPr>
        <w:t>Implication:</w:t>
      </w:r>
      <w:r>
        <w:t xml:space="preserve"> Instead of A to B, it is A to C, with points of somethings that are real that occurs to place the implication into a false light.</w:t>
      </w:r>
      <w:r>
        <w:br/>
      </w:r>
      <w:r>
        <w:br/>
      </w:r>
      <w:r w:rsidR="007C58A5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la-Latn"/>
        </w:rPr>
        <w:t xml:space="preserve">Logical Fallacy of 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la-Latn"/>
        </w:rPr>
        <w:t xml:space="preserve">Falsus in uno, falsus in omnibus – 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la-Latn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 </w:t>
      </w:r>
      <w:hyperlink r:id="rId4" w:tooltip="Common law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common law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it is the legal principle that a witness who falsely </w:t>
      </w:r>
      <w:hyperlink r:id="rId5" w:tooltip="Testimony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testifies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about one matter..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Although Lord Ellenborough (pictured) rejected a categorical application of the rule </w:t>
      </w:r>
      <w:r>
        <w:rPr>
          <w:rFonts w:ascii="Arial" w:hAnsi="Arial" w:cs="Arial"/>
          <w:i/>
          <w:iCs/>
          <w:color w:val="202122"/>
          <w:sz w:val="19"/>
          <w:szCs w:val="19"/>
          <w:lang w:val="la-Latn"/>
        </w:rPr>
        <w:t>falsus in uno, falsus in omnibus</w:t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 for English courts in the year 1809, the doctrine survives in some American jurisdictions.</w:t>
      </w:r>
      <w:hyperlink r:id="rId6" w:anchor="cite_note-1" w:history="1">
        <w:r>
          <w:rPr>
            <w:rStyle w:val="Hyperlink"/>
            <w:rFonts w:ascii="Arial" w:hAnsi="Arial" w:cs="Arial"/>
            <w:sz w:val="15"/>
            <w:szCs w:val="15"/>
            <w:vertAlign w:val="superscript"/>
          </w:rPr>
          <w:t>[1]</w:t>
        </w:r>
      </w:hyperlink>
      <w:r w:rsidR="007C58A5">
        <w:rPr>
          <w:rStyle w:val="Hyperlink"/>
          <w:rFonts w:ascii="Arial" w:hAnsi="Arial" w:cs="Arial"/>
          <w:sz w:val="15"/>
          <w:szCs w:val="15"/>
          <w:vertAlign w:val="superscript"/>
        </w:rPr>
        <w:br/>
      </w:r>
      <w:r w:rsidR="00A87BA2">
        <w:rPr>
          <w:rStyle w:val="Hyperlink"/>
          <w:rFonts w:ascii="Arial" w:hAnsi="Arial" w:cs="Arial"/>
          <w:sz w:val="15"/>
          <w:szCs w:val="15"/>
          <w:vertAlign w:val="superscript"/>
        </w:rPr>
        <w:br/>
      </w:r>
      <w:r>
        <w:br/>
        <w:t>A Witness can become a plaintiff or a defendant.</w:t>
      </w:r>
      <w:r w:rsidR="00FB2485">
        <w:br/>
      </w:r>
      <w:r w:rsidR="00FB2485">
        <w:br/>
        <w:t xml:space="preserve">Contradiction </w:t>
      </w:r>
      <w:r w:rsidR="00907AB7">
        <w:t xml:space="preserve">to Fixers </w:t>
      </w:r>
      <w:r w:rsidR="00FB2485">
        <w:t>--</w:t>
      </w:r>
    </w:p>
    <w:p w14:paraId="133DF02A" w14:textId="4A9CDAFE" w:rsidR="00A84784" w:rsidRDefault="009F4052" w:rsidP="00FB2485">
      <w:r>
        <w:t xml:space="preserve">In Some States </w:t>
      </w:r>
      <w:r w:rsidR="00AC04D4">
        <w:t>it can be</w:t>
      </w:r>
      <w:r w:rsidR="00A87BA2">
        <w:t xml:space="preserve"> illegal </w:t>
      </w:r>
      <w:r w:rsidR="00FB2485">
        <w:t>Coercion</w:t>
      </w:r>
      <w:r w:rsidR="00E62118">
        <w:t xml:space="preserve"> -</w:t>
      </w:r>
      <w:r w:rsidR="00FB2485">
        <w:t xml:space="preserve"> </w:t>
      </w:r>
      <w:r w:rsidR="00E62118" w:rsidRPr="00E62118">
        <w:t>A person is guilty of coercion in the third degree when he or she compels or induces a person to engage in conduct which the latter has a legal right to abstain from engaging in, or to abstain from engaging in conduct in which he or she has a legal right to engage</w:t>
      </w:r>
      <w:r w:rsidR="00E62118">
        <w:t>…</w:t>
      </w:r>
      <w:r>
        <w:br/>
      </w:r>
      <w:r w:rsidRPr="009F4052">
        <w:t xml:space="preserve">by means of instilling in him or her a fear that, if the demand is not complied with, </w:t>
      </w:r>
      <w:r w:rsidRPr="00907AB7">
        <w:rPr>
          <w:b/>
          <w:bCs/>
        </w:rPr>
        <w:t>the actor or another will:</w:t>
      </w:r>
      <w:r w:rsidRPr="00907AB7">
        <w:rPr>
          <w:b/>
          <w:bCs/>
        </w:rPr>
        <w:br/>
      </w:r>
      <w:r w:rsidR="00907AB7" w:rsidRPr="00907AB7">
        <w:rPr>
          <w:i/>
          <w:iCs/>
        </w:rPr>
        <w:t xml:space="preserve">Testify or provide information or </w:t>
      </w:r>
      <w:r w:rsidR="00907AB7" w:rsidRPr="00907AB7">
        <w:rPr>
          <w:b/>
          <w:bCs/>
          <w:i/>
          <w:iCs/>
        </w:rPr>
        <w:t xml:space="preserve">withhold </w:t>
      </w:r>
      <w:r w:rsidR="00907AB7" w:rsidRPr="00907AB7">
        <w:rPr>
          <w:i/>
          <w:iCs/>
        </w:rPr>
        <w:t>testimony or information with respect to another’s legal claim or defense;</w:t>
      </w:r>
      <w:r w:rsidR="00907AB7" w:rsidRPr="00907AB7">
        <w:t xml:space="preserve"> </w:t>
      </w:r>
      <w:r>
        <w:br/>
      </w:r>
      <w:r w:rsidR="00E62118">
        <w:br/>
      </w:r>
      <w:r w:rsidR="00A84784">
        <w:br/>
      </w:r>
    </w:p>
    <w:p w14:paraId="5B5306C4" w14:textId="77777777" w:rsidR="00A84784" w:rsidRDefault="00A84784"/>
    <w:sectPr w:rsidR="00A8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84"/>
    <w:rsid w:val="004F6A76"/>
    <w:rsid w:val="007C58A5"/>
    <w:rsid w:val="00861175"/>
    <w:rsid w:val="00907AB7"/>
    <w:rsid w:val="00945240"/>
    <w:rsid w:val="009F4052"/>
    <w:rsid w:val="00A55B7C"/>
    <w:rsid w:val="00A84784"/>
    <w:rsid w:val="00A87BA2"/>
    <w:rsid w:val="00AC04D4"/>
    <w:rsid w:val="00D05B10"/>
    <w:rsid w:val="00E62118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DA7C"/>
  <w15:chartTrackingRefBased/>
  <w15:docId w15:val="{C6999397-A2D7-4CFF-9421-CF4D86DF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84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alsus_in_uno,_falsus_in_omnibus" TargetMode="External"/><Relationship Id="rId5" Type="http://schemas.openxmlformats.org/officeDocument/2006/relationships/hyperlink" Target="https://en.wikipedia.org/wiki/Testimony" TargetMode="External"/><Relationship Id="rId4" Type="http://schemas.openxmlformats.org/officeDocument/2006/relationships/hyperlink" Target="https://en.wikipedia.org/wiki/Common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Taft</dc:creator>
  <cp:keywords/>
  <dc:description/>
  <cp:lastModifiedBy>Christina Taft</cp:lastModifiedBy>
  <cp:revision>11</cp:revision>
  <dcterms:created xsi:type="dcterms:W3CDTF">2024-05-27T00:31:00Z</dcterms:created>
  <dcterms:modified xsi:type="dcterms:W3CDTF">2024-05-27T00:38:00Z</dcterms:modified>
</cp:coreProperties>
</file>