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5.png" ContentType="image/png"/>
  <Override PartName="/word/media/image3.png" ContentType="image/png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My outbreak report</w:t>
      </w:r>
    </w:p>
    <w:p>
      <w:pPr>
        <w:pStyle w:val="Author"/>
      </w:pPr>
      <w:r>
        <w:t xml:space="preserve">Helene Langet</w:t>
      </w:r>
    </w:p>
    <w:p>
      <w:pPr>
        <w:pStyle w:val="Date"/>
      </w:pPr>
      <w:r>
        <w:t xml:space="preserve">February 4, 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The outbreak ran from</w:t>
      </w:r>
      <w:r>
        <w:t xml:space="preserve"> </w:t>
      </w:r>
      <w:r>
        <w:rPr>
          <w:b/>
          <w:bCs/>
        </w:rPr>
        <w:t xml:space="preserve">2021-01-03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2022-12-31</w:t>
      </w:r>
      <w:r>
        <w:t xml:space="preserve">. This report covers the period</w:t>
      </w:r>
      <w:r>
        <w:t xml:space="preserve"> </w:t>
      </w:r>
      <w:r>
        <w:rPr>
          <w:b/>
          <w:bCs/>
        </w:rPr>
        <w:t xml:space="preserve">2021-01-03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2022-12-31</w:t>
      </w:r>
      <w:r>
        <w:t xml:space="preserve">. Over the studied period, there were</w:t>
      </w:r>
      <w:r>
        <w:t xml:space="preserve"> </w:t>
      </w:r>
      <w:r>
        <w:rPr>
          <w:b/>
          <w:bCs/>
        </w:rPr>
        <w:t xml:space="preserve">65669</w:t>
      </w:r>
      <w:r>
        <w:t xml:space="preserve"> </w:t>
      </w:r>
      <w:r>
        <w:t xml:space="preserve">cases, including</w:t>
      </w:r>
      <w:r>
        <w:t xml:space="preserve"> </w:t>
      </w:r>
      <w:r>
        <w:rPr>
          <w:b/>
          <w:bCs/>
        </w:rPr>
        <w:t xml:space="preserve">52434</w:t>
      </w:r>
      <w:r>
        <w:t xml:space="preserve"> </w:t>
      </w:r>
      <w:r>
        <w:t xml:space="preserve">confirmed cases and</w:t>
      </w:r>
      <w:r>
        <w:t xml:space="preserve"> </w:t>
      </w:r>
      <w:r>
        <w:rPr>
          <w:b/>
          <w:bCs/>
        </w:rPr>
        <w:t xml:space="preserve">1214</w:t>
      </w:r>
      <w:r>
        <w:t xml:space="preserve"> </w:t>
      </w:r>
      <w:r>
        <w:t xml:space="preserve">confirmed deaths.</w:t>
      </w:r>
    </w:p>
    <w:bookmarkEnd w:id="20"/>
    <w:bookmarkStart w:id="21" w:name="background"/>
    <w:p>
      <w:pPr>
        <w:pStyle w:val="Heading2"/>
      </w:pPr>
      <w:r>
        <w:t xml:space="preserve">2 Background</w:t>
      </w:r>
    </w:p>
    <w:p>
      <w:pPr>
        <w:pStyle w:val="FirstParagraph"/>
      </w:pPr>
      <w:r>
        <w:t xml:space="preserve">(1)</w:t>
      </w:r>
      <w:r>
        <w:t xml:space="preserve"> </w:t>
      </w:r>
      <w:r>
        <w:t xml:space="preserve">describes trends in suspected and confirmed monkeypox virus cases in the Democratic Republic of Congo using epidemiological and laboratory surveillance data collected from 2010 to 2023.</w:t>
      </w:r>
    </w:p>
    <w:bookmarkEnd w:id="21"/>
    <w:bookmarkStart w:id="24" w:name="population-characteristics"/>
    <w:p>
      <w:pPr>
        <w:pStyle w:val="Heading2"/>
      </w:pPr>
      <w:r>
        <w:t xml:space="preserve">3 Population characteristics</w:t>
      </w:r>
    </w:p>
    <w:p>
      <w:pPr>
        <w:pStyle w:val="FirstParagraph"/>
      </w:pPr>
      <w:hyperlink w:anchor="tbl-1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provides a summary of the demographic characteristics and the outcome proportion for the overall population, while</w:t>
      </w:r>
      <w:r>
        <w:t xml:space="preserve"> </w:t>
      </w:r>
      <w:hyperlink w:anchor="tbl-2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characteristics of individuals who died versus those who are still alive.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Population characteristics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65,669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50 (35, 65)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sex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33,114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32,555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29 (21, 38)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confirmed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13,235 (20%)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52,434 (80%)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death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64,455 (98%)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1,214 (1.8%)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default">Median (Q1, Q3); n (%)</w:t>
                  </w:r>
                </w:p>
              </w:tc>
            </w:tr>
          </w:tbl>
          <w:bookmarkEnd w:id="22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2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Demographic characteristics of deceased vs. alive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65,669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0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64,455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1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1,214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sex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33,114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32,504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610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32,555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31,951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604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50 (35, 65)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50 (35, 65)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(37, 67)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29 (21, 38)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29 (21, 38)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 (28, 41)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default">n (%); Median (Q1, Q3)</w:t>
                  </w:r>
                </w:p>
              </w:tc>
            </w:tr>
          </w:tbl>
          <w:bookmarkEnd w:id="23"/>
        </w:tc>
      </w:tr>
    </w:tbl>
    <w:bookmarkEnd w:id="24"/>
    <w:bookmarkStart w:id="29" w:name="outbreak-evolution"/>
    <w:p>
      <w:pPr>
        <w:pStyle w:val="Heading2"/>
      </w:pPr>
      <w:r>
        <w:t xml:space="preserve">4 Outbreak evolution</w:t>
      </w:r>
    </w:p>
    <w:p>
      <w:pPr>
        <w:pStyle w:val="FirstParagraph"/>
      </w:pPr>
      <w:hyperlink w:anchor="fig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outbreak’s progression, which can be divided into distinct phases.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1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exercise5_files/figure-docx/fig-1-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Weekly count of all cases, confirmed cases and deaths</w:t>
            </w:r>
          </w:p>
          <w:bookmarkEnd w:id="28"/>
        </w:tc>
      </w:tr>
    </w:tbl>
    <w:bookmarkEnd w:id="29"/>
    <w:bookmarkStart w:id="32" w:name="logistic-regression-model"/>
    <w:p>
      <w:pPr>
        <w:pStyle w:val="Heading2"/>
      </w:pPr>
      <w:r>
        <w:t xml:space="preserve">5 Logistic regression model</w:t>
      </w:r>
    </w:p>
    <w:p>
      <w:pPr>
        <w:pStyle w:val="FirstParagraph"/>
      </w:pPr>
      <w:r>
        <w:t xml:space="preserve">In this section, we build and evaluate a logistic regression model to understand the relationship between certain variables and the likelihood of death among confirmed cases.</w:t>
      </w:r>
    </w:p>
    <w:p>
      <w:pPr>
        <w:pStyle w:val="BodyText"/>
      </w:pPr>
      <w:r>
        <w:t xml:space="preserve">The logistic regression model uses</w:t>
      </w:r>
      <w:r>
        <w:t xml:space="preserve"> </w:t>
      </w:r>
      <w:r>
        <w:rPr>
          <w:rStyle w:val="VerbatimChar"/>
        </w:rPr>
        <w:t xml:space="preserve">death</w:t>
      </w:r>
      <w:r>
        <w:t xml:space="preserve"> </w:t>
      </w:r>
      <w:r>
        <w:t xml:space="preserve">as the response variable, and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as predictor variables. It is implemented in R as shown in the code chunk referenced by</w:t>
      </w:r>
      <w:r>
        <w:t xml:space="preserve"> </w:t>
      </w:r>
      <w:hyperlink w:anchor="lst-1">
        <w:r>
          <w:rPr>
            <w:rStyle w:val="Hyperlink"/>
          </w:rPr>
          <w:t xml:space="preserve">Listing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lst-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Listing 1: R code for modelling</w:t>
            </w:r>
          </w:p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#Logistic regression model</w:t>
            </w:r>
            <w:r>
              <w:br/>
            </w:r>
            <w:r>
              <w:rPr>
                <w:rStyle w:val="NormalTok"/>
              </w:rPr>
              <w:t xml:space="preserve">model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(death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bmi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age,</w:t>
            </w:r>
            <w:r>
              <w:br/>
            </w:r>
            <w:r>
              <w:rPr>
                <w:rStyle w:val="NormalTok"/>
              </w:rPr>
              <w:t xml:space="preserve">             subdf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(confirmed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      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binomial)</w:t>
            </w:r>
          </w:p>
          <w:bookmarkEnd w:id="30"/>
        </w:tc>
      </w:tr>
    </w:tbl>
    <w:p>
      <w:pPr>
        <w:pStyle w:val="FirstParagraph"/>
      </w:pPr>
      <w:r>
        <w:t xml:space="preserve">The results of the logistic regression model are summarized in the formatted regression table, which is presented in</w:t>
      </w:r>
      <w:r>
        <w:t xml:space="preserve"> </w:t>
      </w:r>
      <w:hyperlink w:anchor="tbl-3">
        <w:r>
          <w:rPr>
            <w:rStyle w:val="Hyperlink"/>
          </w:rPr>
          <w:t xml:space="preserve">Table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3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Formatted regression table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OR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95% CI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p-value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1.04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1.03, 1.04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1.00, 1.01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0.003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preserve">Abbreviations: CI = Confidence Interval, OR = Odds Ratio</w:t>
                  </w:r>
                </w:p>
              </w:tc>
            </w:tr>
          </w:tbl>
          <w:bookmarkEnd w:id="31"/>
        </w:tc>
      </w:tr>
    </w:tbl>
    <w:bookmarkEnd w:id="32"/>
    <w:bookmarkStart w:id="36" w:name="appendix"/>
    <w:p>
      <w:pPr>
        <w:pStyle w:val="Heading2"/>
      </w:pPr>
      <w:r>
        <w:t xml:space="preserve">6 Appendix</w:t>
      </w:r>
    </w:p>
    <w:p>
      <w:pPr>
        <w:pStyle w:val="FirstParagraph"/>
      </w:pPr>
      <w:r>
        <w:t xml:space="preserve">The dataset includes the following variables: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age</w:t>
      </w:r>
      <w:r>
        <w:t xml:space="preserve"> </w:t>
      </w:r>
      <w:r>
        <w:t xml:space="preserve">= age of the individual (continuous variable) 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sex</w:t>
      </w:r>
      <w:r>
        <w:t xml:space="preserve"> </w:t>
      </w:r>
      <w:r>
        <w:t xml:space="preserve">= sex of the individual (binary variable: 1 = male, 2 = female) 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bmi</w:t>
      </w:r>
      <w:r>
        <w:t xml:space="preserve"> </w:t>
      </w:r>
      <w:r>
        <w:t xml:space="preserve">= Body Mass Index (BMI) of the individual (continuous variable) 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confirmed</w:t>
      </w:r>
      <w:r>
        <w:t xml:space="preserve"> </w:t>
      </w:r>
      <w:r>
        <w:t xml:space="preserve">= flag of confirmed cases (binary variable: 0 = no, 1 = yes)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death</w:t>
      </w:r>
      <w:r>
        <w:t xml:space="preserve"> </w:t>
      </w:r>
      <w:r>
        <w:t xml:space="preserve">= death outcome (binary variable: 0 = alive, 1 = died)</w:t>
      </w:r>
    </w:p>
    <w:p>
      <w:pPr>
        <w:pStyle w:val="TableCaption"/>
      </w:pPr>
      <w:r>
        <w:t xml:space="preserve">Data summary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Data summary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65669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type frequency: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Date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990"/>
        <w:gridCol w:w="1386"/>
        <w:gridCol w:w="1089"/>
        <w:gridCol w:w="1089"/>
        <w:gridCol w:w="1089"/>
        <w:gridCol w:w="89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2021-01-03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2022-12-31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2021-11-20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2021-01-03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2022-12-25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2021-11-14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factor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8"/>
        <w:gridCol w:w="1070"/>
        <w:gridCol w:w="1498"/>
        <w:gridCol w:w="856"/>
        <w:gridCol w:w="963"/>
        <w:gridCol w:w="20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top_counts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 33114, 2: 32555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 52434, 0: 13235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 64455, 1: 1214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numeric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2"/>
        <w:gridCol w:w="851"/>
        <w:gridCol w:w="1192"/>
        <w:gridCol w:w="681"/>
        <w:gridCol w:w="681"/>
        <w:gridCol w:w="255"/>
        <w:gridCol w:w="425"/>
        <w:gridCol w:w="681"/>
        <w:gridCol w:w="681"/>
        <w:gridCol w:w="766"/>
        <w:gridCol w:w="5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5768.89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4029.27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4992.00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8896.00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14993.00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▇▆▅▃▂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▇▇▇▇▇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▆▇▇▃▁</w:t>
            </w:r>
          </w:p>
        </w:tc>
      </w:tr>
    </w:tbl>
    <w:bookmarkStart w:id="35" w:name="refs"/>
    <w:bookmarkStart w:id="34" w:name="ref-Bangwen2025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Bangwen E, Diavita R, De Vos E, Vakaniaki EH, Nundu SS, Mutombo A, et al. Suspected and confirmed mpox cases in DR congo: A retrospective analysis of national epidemiological and laboratory surveillance data, 2010–23. The Lancet [Internet]. 2025 Feb;405(10476):408–19. Available from:</w:t>
      </w:r>
      <w:r>
        <w:t xml:space="preserve"> </w:t>
      </w:r>
      <w:hyperlink r:id="rId33">
        <w:r>
          <w:rPr>
            <w:rStyle w:val="Hyperlink"/>
          </w:rPr>
          <w:t xml:space="preserve">http://dx.doi.org/10.1016/S0140-6736(24)02669-2</w:t>
        </w:r>
      </w:hyperlink>
    </w:p>
    <w:bookmarkEnd w:id="34"/>
    <w:bookmarkEnd w:id="35"/>
    <w:bookmarkEnd w:id="36"/>
    <w:sectPr w:rsidR="00E349E0" w:rsidSect="00A12690">
      <w:footerReference r:id="rId11" w:type="default"/>
      <w:headerReference r:id="rId9" w:type="first"/>
      <w:footerReference r:id="rId10" w:type="first"/>
      <w:pgSz w:h="15840" w:w="12240"/>
      <w:pgMar w:bottom="851" w:footer="567" w:gutter="0" w:header="851" w:left="1276" w:right="1276" w:top="1276"/>
      <w:cols w:space="720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607" w:rsidRPr="00F7412E" w:rsidRDefault="00A60A30" w:rsidP="00FC2E65">
    <w:pPr>
      <w:pStyle w:val="Footer"/>
      <w:tabs>
        <w:tab w:val="right" w:pos="9688"/>
      </w:tabs>
      <w:rPr>
        <w:rFonts w:cs="Arial"/>
        <w:sz w:val="16"/>
        <w:szCs w:val="16"/>
      </w:rPr>
    </w:pPr>
    <w:sdt>
      <w:sdtPr>
        <w:rPr>
          <w:rFonts w:eastAsia="Arial" w:cs="Times New Roman"/>
          <w:color w:val="000000"/>
          <w:sz w:val="16"/>
          <w:szCs w:val="22"/>
        </w:rPr>
        <w:alias w:val="Title"/>
        <w:tag w:val=""/>
        <w:id w:val="669065790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1E7B0D">
          <w:rPr>
            <w:rFonts w:eastAsia="Arial" w:cs="Times New Roman"/>
            <w:color w:val="000000"/>
            <w:sz w:val="16"/>
            <w:szCs w:val="22"/>
          </w:rPr>
          <w:t>Swiss TPH report example</w:t>
        </w:r>
      </w:sdtContent>
    </w:sdt>
    <w:r w:rsidR="001E7B0D">
      <w:rPr>
        <w:rFonts w:cs="Arial"/>
        <w:sz w:val="16"/>
        <w:szCs w:val="16"/>
      </w:rPr>
      <w:tab/>
    </w:r>
    <w:r w:rsidR="001E7B0D">
      <w:rPr>
        <w:rFonts w:cs="Arial"/>
        <w:sz w:val="16"/>
        <w:szCs w:val="16"/>
      </w:rPr>
      <w:tab/>
    </w:r>
    <w:r w:rsidR="001E7B0D">
      <w:rPr>
        <w:rFonts w:cs="Arial"/>
        <w:sz w:val="16"/>
        <w:szCs w:val="16"/>
      </w:rPr>
      <w:tab/>
    </w:r>
    <w:r w:rsidR="001E7B0D" w:rsidRPr="00F51429">
      <w:rPr>
        <w:rFonts w:cs="Arial"/>
        <w:sz w:val="16"/>
        <w:szCs w:val="16"/>
      </w:rPr>
      <w:t xml:space="preserve"> </w:t>
    </w:r>
    <w:r w:rsidR="001E7B0D" w:rsidRPr="00F51429">
      <w:rPr>
        <w:rFonts w:cs="Arial"/>
        <w:color w:val="BF3227" w:themeColor="accent2"/>
        <w:sz w:val="16"/>
        <w:szCs w:val="16"/>
      </w:rPr>
      <w:t xml:space="preserve"> |   </w:t>
    </w:r>
    <w:r w:rsidR="001E7B0D" w:rsidRPr="00F51429">
      <w:rPr>
        <w:rFonts w:cs="Arial"/>
        <w:sz w:val="16"/>
        <w:szCs w:val="16"/>
      </w:rPr>
      <w:fldChar w:fldCharType="begin"/>
    </w:r>
    <w:r w:rsidR="001E7B0D" w:rsidRPr="00F51429">
      <w:rPr>
        <w:rFonts w:cs="Arial"/>
        <w:sz w:val="16"/>
        <w:szCs w:val="16"/>
      </w:rPr>
      <w:instrText xml:space="preserve"> PAGE   \* MERGEFORMAT </w:instrText>
    </w:r>
    <w:r w:rsidR="001E7B0D" w:rsidRPr="00F51429">
      <w:rPr>
        <w:rFonts w:cs="Arial"/>
        <w:sz w:val="16"/>
        <w:szCs w:val="16"/>
      </w:rPr>
      <w:fldChar w:fldCharType="separate"/>
    </w:r>
    <w:r w:rsidR="00195944">
      <w:rPr>
        <w:rFonts w:cs="Arial"/>
        <w:noProof/>
        <w:sz w:val="16"/>
        <w:szCs w:val="16"/>
      </w:rPr>
      <w:t>2</w:t>
    </w:r>
    <w:r w:rsidR="001E7B0D" w:rsidRPr="00F51429">
      <w:rPr>
        <w:rFonts w:cs="Arial"/>
        <w:noProof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44D1" w:rsidRDefault="00E844D1" w:rsidP="00E844D1">
    <w:pPr>
      <w:pStyle w:val="Footer"/>
      <w:jc w:val="right"/>
    </w:pPr>
    <w:r>
      <w:rPr>
        <w:noProof/>
        <w:lang w:val="de-CH" w:eastAsia="de-CH"/>
      </w:rPr>
      <w:drawing>
        <wp:inline distT="0" distB="0" distL="0" distR="0" wp14:anchorId="0E8D2533" wp14:editId="57D8C1CF">
          <wp:extent cx="1608543" cy="936255"/>
          <wp:effectExtent l="0" t="0" r="4445" b="381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wiss TPH Logo_MSOffice_RGB-color_4-lines.png"/>
                  <pic:cNvPicPr/>
                </pic:nvPicPr>
                <pic:blipFill>
                  <a:blip r:embed="rId1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1515" cy="9496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2BE5" w:rsidRDefault="00882059">
    <w:pPr>
      <w:pStyle w:val="Header"/>
    </w:pPr>
    <w:r>
      <w:rPr>
        <w:noProof/>
        <w:lang w:val="de-CH" w:eastAsia="de-CH"/>
      </w:rPr>
      <w:drawing>
        <wp:anchor distT="0" distB="0" distL="114300" distR="114300" simplePos="0" relativeHeight="251659264" behindDoc="0" locked="0" layoutInCell="1" allowOverlap="1" wp14:anchorId="1B0F013B" wp14:editId="29AF079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2289600" cy="354960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STPH_Logo_RGB_color-half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9600" cy="354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0000A990"/>
    <w:multiLevelType w:val="multilevel"/>
    <w:tmpl w:val="EA80B572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F375DF8"/>
    <w:multiLevelType w:val="multilevel"/>
    <w:tmpl w:val="215C18FE"/>
    <w:lvl w:ilvl="0">
      <w:start w:val="1"/>
      <w:numFmt w:val="decimal"/>
      <w:lvlText w:val="%1"/>
      <w:lvlJc w:val="left"/>
      <w:pPr>
        <w:tabs>
          <w:tab w:pos="851" w:val="num"/>
        </w:tabs>
        <w:ind w:hanging="851" w:left="85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pos="851" w:val="num"/>
        </w:tabs>
        <w:ind w:hanging="851" w:left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pos="851" w:val="num"/>
        </w:tabs>
        <w:ind w:hanging="851" w:left="851"/>
      </w:pPr>
      <w:rPr>
        <w:rFonts w:hint="default"/>
        <w:color w:val="45A1CF"/>
      </w:rPr>
    </w:lvl>
    <w:lvl w:ilvl="3">
      <w:start w:val="1"/>
      <w:numFmt w:val="decimal"/>
      <w:lvlText w:val="%1.%2.%3.%4."/>
      <w:lvlJc w:val="left"/>
      <w:pPr>
        <w:tabs>
          <w:tab w:pos="4680" w:val="num"/>
        </w:tabs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pos="5760" w:val="num"/>
        </w:tabs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pos="7200" w:val="num"/>
        </w:tabs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pos="8280" w:val="num"/>
        </w:tabs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pos="9720" w:val="num"/>
        </w:tabs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pos="10800" w:val="num"/>
        </w:tabs>
        <w:ind w:hanging="1440" w:left="4320"/>
      </w:pPr>
      <w:rPr>
        <w:rFonts w:hint="default"/>
      </w:rPr>
    </w:lvl>
  </w:abstractNum>
  <w:abstractNum w15:restartNumberingAfterBreak="0" w:abstractNumId="2">
    <w:nsid w:val="66145949"/>
    <w:multiLevelType w:val="multilevel"/>
    <w:tmpl w:val="9EC46E4E"/>
    <w:lvl w:ilvl="0">
      <w:start w:val="1"/>
      <w:numFmt w:val="decimal"/>
      <w:lvlText w:val="%1"/>
      <w:lvlJc w:val="left"/>
      <w:pPr>
        <w:tabs>
          <w:tab w:pos="851" w:val="num"/>
        </w:tabs>
        <w:ind w:hanging="851" w:left="85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pos="1031" w:val="num"/>
        </w:tabs>
        <w:ind w:hanging="851" w:left="1031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themeColor="accent3" w:val="B5C751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pos="851" w:val="num"/>
        </w:tabs>
        <w:ind w:hanging="851" w:left="851"/>
      </w:pPr>
      <w:rPr>
        <w:rFonts w:hint="default"/>
        <w:color w:themeColor="accent3" w:val="B5C751"/>
      </w:rPr>
    </w:lvl>
    <w:lvl w:ilvl="3">
      <w:start w:val="1"/>
      <w:numFmt w:val="decimal"/>
      <w:lvlText w:val="%1.%2.%3.%4."/>
      <w:lvlJc w:val="left"/>
      <w:pPr>
        <w:tabs>
          <w:tab w:pos="4680" w:val="num"/>
        </w:tabs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pos="5760" w:val="num"/>
        </w:tabs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pos="7200" w:val="num"/>
        </w:tabs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pos="8280" w:val="num"/>
        </w:tabs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pos="9720" w:val="num"/>
        </w:tabs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pos="10800" w:val="num"/>
        </w:tabs>
        <w:ind w:hanging="1440" w:left="4320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2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F65"/>
    <w:rsid w:val="00142F65"/>
    <w:rsid w:val="00195944"/>
    <w:rsid w:val="001E7B0D"/>
    <w:rsid w:val="002B0BFB"/>
    <w:rsid w:val="00361C24"/>
    <w:rsid w:val="003D54F4"/>
    <w:rsid w:val="005E747B"/>
    <w:rsid w:val="006B04CD"/>
    <w:rsid w:val="006E5C3D"/>
    <w:rsid w:val="00771190"/>
    <w:rsid w:val="00882059"/>
    <w:rsid w:val="009A3276"/>
    <w:rsid w:val="00A60A30"/>
    <w:rsid w:val="00A64D7E"/>
    <w:rsid w:val="00AA00A4"/>
    <w:rsid w:val="00C042EA"/>
    <w:rsid w:val="00C65BA5"/>
    <w:rsid w:val="00D74251"/>
    <w:rsid w:val="00E349E0"/>
    <w:rsid w:val="00E844D1"/>
    <w:rsid w:val="00FA1357"/>
    <w:rsid w:val="00FF750B"/>
  </w:rsids>
  <w:themeFontLang w:bidi="ar-SA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1" w:defLockedState="0" w:defQFormat="0" w:defSemiHidden="0" w:defUIPriority="0" w:defUnhideWhenUsed="0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rsid w:val="00594760"/>
    <w:rPr>
      <w:rFonts w:ascii="Arial" w:hAnsi="Arial"/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1B3A61"/>
    <w:pPr>
      <w:keepNext/>
      <w:spacing w:after="240" w:before="560" w:line="264" w:lineRule="auto"/>
      <w:ind w:hanging="425" w:left="425"/>
      <w:outlineLvl w:val="0"/>
    </w:pPr>
    <w:rPr>
      <w:rFonts w:cs="Arial" w:eastAsia="Times New Roman"/>
      <w:b/>
      <w:bCs/>
      <w:caps/>
      <w:color w:val="468AB2"/>
      <w:kern w:val="32"/>
      <w:sz w:val="36"/>
      <w:szCs w:val="48"/>
      <w:lang w:eastAsia="de-DE" w:val="en-US"/>
    </w:rPr>
  </w:style>
  <w:style w:styleId="Heading2" w:type="paragraph">
    <w:name w:val="heading 2"/>
    <w:basedOn w:val="Normal"/>
    <w:next w:val="BodyText"/>
    <w:uiPriority w:val="9"/>
    <w:unhideWhenUsed/>
    <w:qFormat/>
    <w:rsid w:val="001B3A61"/>
    <w:pPr>
      <w:keepNext/>
      <w:numPr>
        <w:ilvl w:val="1"/>
      </w:numPr>
      <w:spacing w:after="240" w:before="480"/>
      <w:ind w:hanging="567" w:left="567"/>
      <w:outlineLvl w:val="1"/>
    </w:pPr>
    <w:rPr>
      <w:rFonts w:cs="Times New Roman" w:eastAsia="MS Gothic"/>
      <w:b/>
      <w:color w:val="468AB2"/>
      <w:sz w:val="28"/>
      <w:szCs w:val="26"/>
      <w:lang w:val="en-US"/>
    </w:rPr>
  </w:style>
  <w:style w:styleId="Heading3" w:type="paragraph">
    <w:name w:val="heading 3"/>
    <w:basedOn w:val="Normal"/>
    <w:next w:val="BodyText"/>
    <w:uiPriority w:val="9"/>
    <w:unhideWhenUsed/>
    <w:qFormat/>
    <w:rsid w:val="001B3A61"/>
    <w:pPr>
      <w:numPr>
        <w:ilvl w:val="2"/>
      </w:numPr>
      <w:spacing w:after="120" w:before="120"/>
      <w:ind w:hanging="425" w:left="425"/>
      <w:outlineLvl w:val="2"/>
    </w:pPr>
    <w:rPr>
      <w:rFonts w:cs="Times New Roman" w:eastAsia="Arial"/>
      <w:b/>
      <w:bCs/>
      <w:color w:val="468AB2"/>
      <w:lang w:val="en-US"/>
    </w:rPr>
  </w:style>
  <w:style w:styleId="Heading4" w:type="paragraph">
    <w:name w:val="heading 4"/>
    <w:basedOn w:val="Normal"/>
    <w:next w:val="BodyText"/>
    <w:uiPriority w:val="9"/>
    <w:unhideWhenUsed/>
    <w:qFormat/>
    <w:rsid w:val="001B3A61"/>
    <w:pPr>
      <w:keepNext/>
      <w:keepLines/>
      <w:spacing w:after="120" w:before="40"/>
      <w:outlineLvl w:val="3"/>
    </w:pPr>
    <w:rPr>
      <w:rFonts w:cs="Times New Roman" w:eastAsia="MS Gothic"/>
      <w:b/>
      <w:iCs/>
      <w:color w:val="BF3227"/>
      <w:szCs w:val="22"/>
      <w:lang w:val="en-US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68AB2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68AB2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68AB2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68AB2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68AB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1B3A61"/>
    <w:pPr>
      <w:spacing w:after="160" w:line="264" w:lineRule="auto"/>
      <w:jc w:val="both"/>
    </w:pPr>
    <w:rPr>
      <w:rFonts w:cs="Times New Roman" w:eastAsia="Arial"/>
      <w:color w:val="000000"/>
      <w:szCs w:val="22"/>
      <w:lang w:val="en-US"/>
    </w:rPr>
  </w:style>
  <w:style w:customStyle="1" w:styleId="FirstParagraph" w:type="paragraph">
    <w:name w:val="First Paragraph"/>
    <w:basedOn w:val="Normal"/>
    <w:next w:val="BodyText"/>
    <w:qFormat/>
    <w:rsid w:val="001B3A61"/>
    <w:pPr>
      <w:spacing w:after="160" w:line="264" w:lineRule="auto"/>
      <w:jc w:val="both"/>
    </w:pPr>
    <w:rPr>
      <w:rFonts w:cs="Times New Roman" w:eastAsia="Arial"/>
      <w:color w:val="000000"/>
      <w:szCs w:val="22"/>
      <w:lang w:val="en-US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next w:val="BodyText"/>
    <w:qFormat/>
    <w:rsid w:val="00195944"/>
    <w:pPr>
      <w:spacing w:before="5040"/>
    </w:pPr>
    <w:rPr>
      <w:rFonts w:ascii="Arial" w:cs="Arial" w:eastAsia="Arial" w:hAnsi="Arial"/>
      <w:b/>
      <w:bCs/>
      <w:caps/>
      <w:color w:val="468AB2"/>
      <w:sz w:val="56"/>
      <w:szCs w:val="56"/>
      <w:lang w:val="en-US"/>
    </w:rPr>
  </w:style>
  <w:style w:styleId="Subtitle" w:type="paragraph">
    <w:name w:val="Subtitle"/>
    <w:basedOn w:val="Normal"/>
    <w:next w:val="BodyText"/>
    <w:qFormat/>
    <w:rsid w:val="00AD4CB8"/>
    <w:pPr>
      <w:autoSpaceDE w:val="0"/>
      <w:autoSpaceDN w:val="0"/>
      <w:adjustRightInd w:val="0"/>
      <w:spacing w:after="0"/>
    </w:pPr>
    <w:rPr>
      <w:rFonts w:cs="Arial" w:eastAsia="Arial"/>
      <w:color w:val="BF3227"/>
      <w:sz w:val="44"/>
      <w:szCs w:val="44"/>
      <w:lang w:val="en-US"/>
    </w:rPr>
  </w:style>
  <w:style w:customStyle="1" w:styleId="Author" w:type="paragraph">
    <w:name w:val="Author"/>
    <w:basedOn w:val="Normal"/>
    <w:next w:val="BodyText"/>
    <w:qFormat/>
    <w:rsid w:val="00AD02E8"/>
    <w:pPr>
      <w:autoSpaceDE w:val="0"/>
      <w:autoSpaceDN w:val="0"/>
      <w:adjustRightInd w:val="0"/>
      <w:spacing w:after="0" w:line="264" w:lineRule="auto"/>
    </w:pPr>
    <w:rPr>
      <w:rFonts w:cs="Arial" w:eastAsia="Arial"/>
      <w:b/>
      <w:bCs/>
      <w:color w:val="000000"/>
      <w:sz w:val="28"/>
      <w:szCs w:val="28"/>
      <w:lang w:val="en-US"/>
    </w:rPr>
  </w:style>
  <w:style w:styleId="Date" w:type="paragraph">
    <w:name w:val="Date"/>
    <w:next w:val="BodyText"/>
    <w:qFormat/>
    <w:rsid w:val="009A3276"/>
    <w:pPr>
      <w:keepNext/>
      <w:keepLines/>
      <w:jc w:val="center"/>
    </w:pPr>
    <w:rPr>
      <w:rFonts w:ascii="Arial" w:hAnsi="Arial"/>
      <w:i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6E5C3D"/>
    <w:tblPr>
      <w:tblInd w:type="dxa" w:w="0"/>
      <w:tblBorders>
        <w:top w:color="468AB2" w:space="0" w:sz="4" w:themeColor="accent1" w:val="single"/>
        <w:left w:color="468AB2" w:space="0" w:sz="4" w:themeColor="accent1" w:val="single"/>
        <w:bottom w:color="468AB2" w:space="0" w:sz="4" w:themeColor="accent1" w:val="single"/>
        <w:right w:color="468AB2" w:space="0" w:sz="4" w:themeColor="accent1" w:val="single"/>
        <w:insideH w:color="468AB2" w:space="0" w:sz="4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="Arial" w:hAnsi="Arial"/>
        <w:b/>
        <w:color w:themeColor="background1" w:val="FFFFFF"/>
        <w:sz w:val="22"/>
      </w:rPr>
      <w:tblPr/>
      <w:tcPr>
        <w:shd w:color="auto" w:fill="468AB2" w:themeFill="accent1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Pr>
      <w:color w:themeColor="accent1" w:val="468AB2"/>
    </w:rPr>
  </w:style>
  <w:style w:styleId="TOCHeading" w:type="paragraph">
    <w:name w:val="TOC Heading"/>
    <w:basedOn w:val="Heading1"/>
    <w:next w:val="BodyText"/>
    <w:uiPriority w:val="39"/>
    <w:unhideWhenUsed/>
    <w:qFormat/>
    <w:rsid w:val="00156562"/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color w:val="003B4F"/>
      <w:sz w:val="22"/>
      <w:shd w:color="auto" w:fill="F1F3F5" w:val="clear"/>
    </w:rPr>
  </w:style>
  <w:style w:styleId="TOC1" w:type="paragraph">
    <w:name w:val="toc 1"/>
    <w:basedOn w:val="Normal"/>
    <w:next w:val="Normal"/>
    <w:autoRedefine/>
    <w:uiPriority w:val="39"/>
    <w:unhideWhenUsed/>
    <w:rsid w:val="00F84E07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F84E07"/>
    <w:pPr>
      <w:spacing w:after="100"/>
      <w:ind w:left="240"/>
    </w:pPr>
  </w:style>
  <w:style w:styleId="TOC3" w:type="paragraph">
    <w:name w:val="toc 3"/>
    <w:basedOn w:val="Normal"/>
    <w:next w:val="Normal"/>
    <w:autoRedefine/>
    <w:uiPriority w:val="39"/>
    <w:unhideWhenUsed/>
    <w:rsid w:val="00F84E07"/>
    <w:pPr>
      <w:spacing w:after="100"/>
      <w:ind w:left="480"/>
    </w:pPr>
  </w:style>
  <w:style w:customStyle="1" w:styleId="Heading1Char" w:type="character">
    <w:name w:val="Heading 1 Char"/>
    <w:basedOn w:val="DefaultParagraphFont"/>
    <w:link w:val="Heading1"/>
    <w:uiPriority w:val="9"/>
    <w:rsid w:val="001B3A61"/>
    <w:rPr>
      <w:rFonts w:ascii="Arial" w:cs="Arial" w:eastAsia="Times New Roman" w:hAnsi="Arial"/>
      <w:b/>
      <w:bCs/>
      <w:caps/>
      <w:color w:val="468AB2"/>
      <w:kern w:val="32"/>
      <w:sz w:val="36"/>
      <w:szCs w:val="48"/>
      <w:lang w:eastAsia="de-DE" w:val="en-US"/>
    </w:rPr>
  </w:style>
  <w:style w:styleId="Header" w:type="paragraph">
    <w:name w:val="header"/>
    <w:basedOn w:val="Normal"/>
    <w:link w:val="HeaderChar"/>
    <w:unhideWhenUsed/>
    <w:rsid w:val="00655CCF"/>
    <w:pPr>
      <w:tabs>
        <w:tab w:pos="4513" w:val="center"/>
        <w:tab w:pos="9026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655CCF"/>
  </w:style>
  <w:style w:styleId="Footer" w:type="paragraph">
    <w:name w:val="footer"/>
    <w:basedOn w:val="Normal"/>
    <w:link w:val="FooterChar"/>
    <w:unhideWhenUsed/>
    <w:rsid w:val="00655CCF"/>
    <w:pPr>
      <w:tabs>
        <w:tab w:pos="4513" w:val="center"/>
        <w:tab w:pos="9026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655CCF"/>
  </w:style>
  <w:style w:styleId="PlaceholderText" w:type="character">
    <w:name w:val="Placeholder Text"/>
    <w:basedOn w:val="DefaultParagraphFont"/>
    <w:semiHidden/>
    <w:rsid w:val="00FC2E65"/>
    <w:rPr>
      <w:color w:val="808080"/>
    </w:rPr>
  </w:style>
  <w:style w:customStyle="1" w:styleId="BodyTextChar" w:type="character">
    <w:name w:val="Body Text Char"/>
    <w:basedOn w:val="DefaultParagraphFont"/>
    <w:link w:val="BodyText"/>
    <w:rsid w:val="00FC2E65"/>
    <w:rPr>
      <w:rFonts w:ascii="Arial" w:cs="Times New Roman" w:eastAsia="Arial" w:hAnsi="Arial"/>
      <w:color w:val="000000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5" Target="media/rId25.png" /><Relationship Type="http://schemas.openxmlformats.org/officeDocument/2006/relationships/hyperlink" Id="rId33" Target="http://dx.doi.org/10.1016/S0140-6736(24)02669-2" TargetMode="External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dx.doi.org/10.1016/S0140-6736(24)02669-2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BABCBE"/>
      </a:dk2>
      <a:lt2>
        <a:srgbClr val="717073"/>
      </a:lt2>
      <a:accent1>
        <a:srgbClr val="468AB2"/>
      </a:accent1>
      <a:accent2>
        <a:srgbClr val="BF3227"/>
      </a:accent2>
      <a:accent3>
        <a:srgbClr val="B5C751"/>
      </a:accent3>
      <a:accent4>
        <a:srgbClr val="EDCD64"/>
      </a:accent4>
      <a:accent5>
        <a:srgbClr val="868686"/>
      </a:accent5>
      <a:accent6>
        <a:srgbClr val="C5D3E5"/>
      </a:accent6>
      <a:hlink>
        <a:srgbClr val="B2C654"/>
      </a:hlink>
      <a:folHlink>
        <a:srgbClr val="EBD7A3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564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Swiss TPH report example</vt:lpstr>
    </vt:vector>
  </TitlesOfParts>
  <Company>Swiss TPH</Company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outbreak report</dc:title>
  <dc:creator>Helene Langet</dc:creator>
  <dc:language>en-US</dc:language>
  <cp:keywords/>
  <dcterms:created xsi:type="dcterms:W3CDTF">2026-03-06T10:02:04Z</dcterms:created>
  <dcterms:modified xsi:type="dcterms:W3CDTF">2026-03-06T10:02:04Z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my_biblio.bib</vt:lpwstr>
  </property>
  <property fmtid="{D5CDD505-2E9C-101B-9397-08002B2CF9AE}" pid="5" name="by-author">
    <vt:lpwstr/>
  </property>
  <property fmtid="{D5CDD505-2E9C-101B-9397-08002B2CF9AE}" pid="6" name="csl">
    <vt:lpwstr>../vancouver.csl</vt:lpwstr>
  </property>
  <property fmtid="{D5CDD505-2E9C-101B-9397-08002B2CF9AE}" pid="7" name="date">
    <vt:lpwstr>February 4, 2025</vt:lpwstr>
  </property>
  <property fmtid="{D5CDD505-2E9C-101B-9397-08002B2CF9AE}" pid="8" name="date-format">
    <vt:lpwstr>long</vt:lpwstr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