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2023-12-31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outbreak ran from</w:t>
      </w:r>
      <w:r>
        <w:t xml:space="preserve"> </w:t>
      </w:r>
      <w:r>
        <w:rPr>
          <w:b/>
          <w:bCs/>
        </w:rPr>
        <w:t xml:space="preserve">date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date</w:t>
      </w:r>
      <w:r>
        <w:t xml:space="preserve">. This report covers the period</w:t>
      </w:r>
      <w:r>
        <w:t xml:space="preserve"> </w:t>
      </w:r>
      <w:r>
        <w:rPr>
          <w:b/>
          <w:bCs/>
        </w:rPr>
        <w:t xml:space="preserve">date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date</w:t>
      </w:r>
      <w:r>
        <w:t xml:space="preserve">. Over the studied period, there were</w:t>
      </w:r>
      <w:r>
        <w:t xml:space="preserve"> </w:t>
      </w:r>
      <w:r>
        <w:rPr>
          <w:b/>
          <w:bCs/>
        </w:rPr>
        <w:t xml:space="preserve">N</w:t>
      </w:r>
      <w:r>
        <w:t xml:space="preserve"> </w:t>
      </w:r>
      <w:r>
        <w:t xml:space="preserve">cases, including</w:t>
      </w:r>
      <w:r>
        <w:t xml:space="preserve"> </w:t>
      </w:r>
      <w:r>
        <w:rPr>
          <w:b/>
          <w:bCs/>
        </w:rPr>
        <w:t xml:space="preserve">N</w:t>
      </w:r>
      <w:r>
        <w:t xml:space="preserve"> </w:t>
      </w:r>
      <w:r>
        <w:t xml:space="preserve">confirmed cases and</w:t>
      </w:r>
      <w:r>
        <w:t xml:space="preserve"> </w:t>
      </w:r>
      <w:r>
        <w:rPr>
          <w:b/>
          <w:bCs/>
        </w:rPr>
        <w:t xml:space="preserve">N</w:t>
      </w:r>
      <w:r>
        <w:t xml:space="preserve"> </w:t>
      </w:r>
      <w:r>
        <w:t xml:space="preserve">confirmed deaths.</w:t>
      </w:r>
    </w:p>
    <w:bookmarkEnd w:id="20"/>
    <w:bookmarkStart w:id="21" w:name="population-characteristics"/>
    <w:p>
      <w:pPr>
        <w:pStyle w:val="Heading2"/>
      </w:pPr>
      <w:r>
        <w:t xml:space="preserve">Population characteristics</w:t>
      </w:r>
    </w:p>
    <w:p>
      <w:pPr>
        <w:pStyle w:val="FirstParagraph"/>
      </w:pPr>
      <w:r>
        <w:rPr>
          <w:b/>
          <w:bCs/>
        </w:rPr>
        <w:t xml:space="preserve">cross-reference</w:t>
      </w:r>
      <w:r>
        <w:t xml:space="preserve"> </w:t>
      </w:r>
      <w:r>
        <w:t xml:space="preserve">provides a summary of the demographic characteristics and the outcome proportion for the overall population, while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 </w:t>
      </w:r>
      <w:r>
        <w:t xml:space="preserve">compares the characteristics of individuals who died versus those who are still alive.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732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65,669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(35, 65)</w:t>
            </w:r>
          </w:p>
        </w:tc>
      </w:tr>
      <w:tr>
        <w:trPr>
          <w:trHeight w:val="5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33,114 (50%)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32,555 (50%)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(21, 38)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13,235 (20%)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52,434 (80%)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64,455 (98%)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1,214 (1.8%)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2361"/>
        <w:gridCol w:w="1738"/>
        <w:gridCol w:w="1615"/>
      </w:tblGrid>
      <w:tr>
        <w:trPr>
          <w:trHeight w:val="60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65,669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64,455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33,114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32,504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(50%)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32,555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31,951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 (50%)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(35, 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(35, 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(37, 67)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(21, 38)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(21, 38)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(28, 41)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1"/>
    <w:bookmarkStart w:id="25" w:name="outbreak-evolution"/>
    <w:p>
      <w:pPr>
        <w:pStyle w:val="Heading2"/>
      </w:pPr>
      <w:r>
        <w:t xml:space="preserve">Outbreak evolution</w:t>
      </w:r>
    </w:p>
    <w:p>
      <w:pPr>
        <w:pStyle w:val="FirstParagraph"/>
      </w:pPr>
      <w:r>
        <w:rPr>
          <w:b/>
          <w:bCs/>
        </w:rPr>
        <w:t xml:space="preserve">cross-reference figure</w:t>
      </w:r>
      <w:r>
        <w:t xml:space="preserve"> </w:t>
      </w:r>
      <w:r>
        <w:t xml:space="preserve">illustrates the outbreak’s progression, which can be divided into distinct phases.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Weekly count of all cases, confirmed cases and deaths" title="" id="23" name="Picture"/>
            <a:graphic>
              <a:graphicData uri="http://schemas.openxmlformats.org/drawingml/2006/picture">
                <pic:pic>
                  <pic:nvPicPr>
                    <pic:cNvPr descr="exercise4_files/figure-docx/unnamed-chunk-9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Weekly count of all cases, confirmed cases and deaths</w:t>
      </w:r>
    </w:p>
    <w:bookmarkEnd w:id="25"/>
    <w:bookmarkStart w:id="26" w:name="logistic-regression-model"/>
    <w:p>
      <w:pPr>
        <w:pStyle w:val="Heading2"/>
      </w:pPr>
      <w:r>
        <w:t xml:space="preserve">Logistic regression model</w:t>
      </w:r>
    </w:p>
    <w:p>
      <w:pPr>
        <w:pStyle w:val="FirstParagraph"/>
      </w:pPr>
      <w:r>
        <w:t xml:space="preserve">In this section, we build and evaluate a logistic regression model to understand the relationship between certain variables and the likelihood of death among confirmed cases.</w:t>
      </w:r>
    </w:p>
    <w:p>
      <w:pPr>
        <w:pStyle w:val="BodyText"/>
      </w:pPr>
      <w:r>
        <w:t xml:space="preserve">The logistic regression model uses</w:t>
      </w:r>
      <w:r>
        <w:t xml:space="preserve"> </w:t>
      </w:r>
      <w:r>
        <w:rPr>
          <w:rStyle w:val="VerbatimChar"/>
        </w:rPr>
        <w:t xml:space="preserve">death</w:t>
      </w:r>
      <w:r>
        <w:t xml:space="preserve"> </w:t>
      </w:r>
      <w:r>
        <w:t xml:space="preserve">as the response variable, and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as predictor variables. It is implemented in R as shown in the code chunk referenced by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#Logistic regression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(death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         subdf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(confirmed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FirstParagraph"/>
      </w:pPr>
      <w:r>
        <w:t xml:space="preserve">The results of the logistic regression model are summarized in the formatted regression table, which is presented in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39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6"/>
    <w:bookmarkStart w:id="27" w:name="appendix"/>
    <w:p>
      <w:pPr>
        <w:pStyle w:val="Heading2"/>
      </w:pPr>
      <w:r>
        <w:t xml:space="preserve">Appendix</w:t>
      </w:r>
    </w:p>
    <w:p>
      <w:pPr>
        <w:pStyle w:val="FirstParagraph"/>
      </w:pPr>
      <w:r>
        <w:t xml:space="preserve">The dataset includes the following variables: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age</w:t>
      </w:r>
      <w:r>
        <w:t xml:space="preserve"> </w:t>
      </w:r>
      <w:r>
        <w:t xml:space="preserve">= age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sex</w:t>
      </w:r>
      <w:r>
        <w:t xml:space="preserve"> </w:t>
      </w:r>
      <w:r>
        <w:t xml:space="preserve">= sex of the individual (binary variable: 1 = male, 2 = female)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bmi</w:t>
      </w:r>
      <w:r>
        <w:t xml:space="preserve"> </w:t>
      </w:r>
      <w:r>
        <w:t xml:space="preserve">= Body Mass Index (BMI)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confirmed</w:t>
      </w:r>
      <w:r>
        <w:t xml:space="preserve"> </w:t>
      </w:r>
      <w:r>
        <w:t xml:space="preserve">= flag of confirmed cases (binary variable: 0 = no, 1 = yes)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death</w:t>
      </w:r>
      <w:r>
        <w:t xml:space="preserve"> </w:t>
      </w:r>
      <w:r>
        <w:t xml:space="preserve">= death outcome (binary variable: 0 = alive, 1 = died)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65669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Date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2022-12-31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2021-11-20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2022-12-25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2021-11-14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factor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1070"/>
        <w:gridCol w:w="1498"/>
        <w:gridCol w:w="856"/>
        <w:gridCol w:w="963"/>
        <w:gridCol w:w="203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33114, 2: 32555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confirmed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52434, 0: 13235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64455, 1: 1214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2"/>
        <w:gridCol w:w="851"/>
        <w:gridCol w:w="1192"/>
        <w:gridCol w:w="681"/>
        <w:gridCol w:w="681"/>
        <w:gridCol w:w="255"/>
        <w:gridCol w:w="425"/>
        <w:gridCol w:w="681"/>
        <w:gridCol w:w="681"/>
        <w:gridCol w:w="766"/>
        <w:gridCol w:w="5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5768.89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4029.27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▇▆▅▃▂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▆▇▇▃▁</w:t>
            </w:r>
          </w:p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2025-02-04T15:19:32Z</dcterms:created>
  <dcterms:modified xsi:type="dcterms:W3CDTF">2025-02-04T15:19:32Z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../vancouver.csl</vt:lpwstr>
  </property>
  <property fmtid="{D5CDD505-2E9C-101B-9397-08002B2CF9AE}" pid="7" name="date">
    <vt:lpwstr>2023-12-31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