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reports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2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You are tasked with generating a simple analytically reproducible report on a fictitious outbreak;</w:t>
      </w:r>
    </w:p>
    <w:p>
      <w:pPr>
        <w:pStyle w:val="Compact"/>
        <w:numPr>
          <w:ilvl w:val="0"/>
          <w:numId w:val="1001"/>
        </w:numPr>
      </w:pPr>
      <w:r>
        <w:t xml:space="preserve">If you have generated the simple MS Word report as in</w:t>
      </w:r>
      <w:r>
        <w:t xml:space="preserve"> </w:t>
      </w:r>
      <w:hyperlink r:id="rId20">
        <w:r>
          <w:rPr>
            <w:rStyle w:val="Hyperlink"/>
          </w:rPr>
          <w:t xml:space="preserve">Exercise 3</w:t>
        </w:r>
      </w:hyperlink>
      <w:r>
        <w:t xml:space="preserve">, continue working on the same Quarto notebook you already modified. Otherwise, download the files</w:t>
      </w:r>
      <w:r>
        <w:t xml:space="preserve"> </w:t>
      </w:r>
      <w:r>
        <w:rPr>
          <w:rStyle w:val="VerbatimChar"/>
        </w:rPr>
        <w:t xml:space="preserve">df1.RData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using the links provided on the right-hand side of this page. For simplicity, please put these two files under the same folder and open the Quarto notebook in RStudio.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cross-references;</w:t>
      </w:r>
    </w:p>
    <w:p>
      <w:pPr>
        <w:pStyle w:val="Compact"/>
        <w:numPr>
          <w:ilvl w:val="0"/>
          <w:numId w:val="1001"/>
        </w:numPr>
      </w:pPr>
      <w:r>
        <w:t xml:space="preserve">The final output should be a Microsoft (MS) Word report, containing all required tables, figures, corresponding captions and cross-references, and formatted with the Swiss TPH template.</w:t>
      </w:r>
    </w:p>
    <w:bookmarkEnd w:id="21"/>
    <w:bookmarkStart w:id="26" w:name="improve-navigation-and-readability"/>
    <w:p>
      <w:pPr>
        <w:pStyle w:val="Heading2"/>
      </w:pPr>
      <w:r>
        <w:t xml:space="preserve">Improve navigation and readability</w:t>
      </w:r>
    </w:p>
    <w:p>
      <w:pPr>
        <w:pStyle w:val="Compact"/>
        <w:numPr>
          <w:ilvl w:val="0"/>
          <w:numId w:val="1002"/>
        </w:numPr>
      </w:pPr>
      <w:r>
        <w:t xml:space="preserve">Insert a table of contents to the rendered MS Word document;</w:t>
      </w:r>
    </w:p>
    <w:p>
      <w:pPr>
        <w:pStyle w:val="Compact"/>
        <w:numPr>
          <w:ilvl w:val="0"/>
          <w:numId w:val="1003"/>
        </w:numPr>
      </w:pPr>
      <w:r>
        <w:t xml:space="preserve">Automatically number the different sections of the rendered MS Word document;</w:t>
      </w:r>
    </w:p>
    <w:p>
      <w:pPr>
        <w:pStyle w:val="Compact"/>
        <w:numPr>
          <w:ilvl w:val="0"/>
          <w:numId w:val="1004"/>
        </w:numPr>
      </w:pPr>
      <w:r>
        <w:t xml:space="preserve">Configure the table of contents to only display two levels of section headings.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bookmarkEnd w:id="26"/>
    <w:bookmarkStart w:id="34" w:name="implement-dynamic-calculations"/>
    <w:p>
      <w:pPr>
        <w:pStyle w:val="Heading2"/>
      </w:pPr>
      <w:r>
        <w:t xml:space="preserve">Implement dynamic calculations</w:t>
      </w:r>
    </w:p>
    <w:p>
      <w:pPr>
        <w:pStyle w:val="Compact"/>
        <w:numPr>
          <w:ilvl w:val="0"/>
          <w:numId w:val="1006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MS Word document was last rendered;</w:t>
      </w:r>
    </w:p>
    <w:p>
      <w:pPr>
        <w:pStyle w:val="Compact"/>
        <w:numPr>
          <w:ilvl w:val="0"/>
          <w:numId w:val="1007"/>
        </w:numPr>
      </w:pPr>
      <w:r>
        <w:t xml:space="preserve">Format the date at which the MS Word document was last rendered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outbreak start and end dates;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10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bookmarkEnd w:id="34"/>
    <w:bookmarkStart w:id="41" w:name="reference-tables"/>
    <w:p>
      <w:pPr>
        <w:pStyle w:val="Heading2"/>
      </w:pPr>
      <w:r>
        <w:t xml:space="preserve">Reference tables</w:t>
      </w:r>
    </w:p>
    <w:bookmarkStart w:id="35" w:name="table-1"/>
    <w:p>
      <w:pPr>
        <w:pStyle w:val="Heading4"/>
      </w:pPr>
      <w:r>
        <w:t xml:space="preserve">Table 1</w:t>
      </w:r>
    </w:p>
    <w:p>
      <w:pPr>
        <w:pStyle w:val="Compact"/>
        <w:numPr>
          <w:ilvl w:val="0"/>
          <w:numId w:val="1012"/>
        </w:numPr>
      </w:pPr>
      <w:r>
        <w:t xml:space="preserve">Assign a label to the table summarising the demographic characteristics and outcome frequency of all cases;</w:t>
      </w:r>
    </w:p>
    <w:p>
      <w:pPr>
        <w:pStyle w:val="Compact"/>
        <w:numPr>
          <w:ilvl w:val="0"/>
          <w:numId w:val="1013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bookmarkEnd w:id="35"/>
    <w:bookmarkStart w:id="36" w:name="table-2"/>
    <w:p>
      <w:pPr>
        <w:pStyle w:val="Heading4"/>
      </w:pPr>
      <w:r>
        <w:t xml:space="preserve">Table 2</w:t>
      </w:r>
    </w:p>
    <w:p>
      <w:pPr>
        <w:pStyle w:val="Compact"/>
        <w:numPr>
          <w:ilvl w:val="0"/>
          <w:numId w:val="1014"/>
        </w:numPr>
      </w:pPr>
      <w:r>
        <w:t xml:space="preserve">Assign a label to the table summarising the demographic characteristics of individuals who died versus those who are still alive;</w:t>
      </w:r>
    </w:p>
    <w:p>
      <w:pPr>
        <w:pStyle w:val="Compact"/>
        <w:numPr>
          <w:ilvl w:val="0"/>
          <w:numId w:val="1015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End w:id="36"/>
    <w:bookmarkStart w:id="40" w:name="table-3"/>
    <w:p>
      <w:pPr>
        <w:pStyle w:val="Heading4"/>
      </w:pPr>
      <w:r>
        <w:t xml:space="preserve">Table 3</w:t>
      </w:r>
    </w:p>
    <w:p>
      <w:pPr>
        <w:pStyle w:val="Compact"/>
        <w:numPr>
          <w:ilvl w:val="0"/>
          <w:numId w:val="1016"/>
        </w:numPr>
      </w:pPr>
      <w:r>
        <w:t xml:space="preserve">Assign a label to the table summarizing the odds ratios from the logistic regression model;</w:t>
      </w:r>
    </w:p>
    <w:p>
      <w:pPr>
        <w:pStyle w:val="Compact"/>
        <w:numPr>
          <w:ilvl w:val="0"/>
          <w:numId w:val="1017"/>
        </w:numPr>
      </w:pPr>
      <w:r>
        <w:t xml:space="preserve">Replace the placeholder text in bold with a cross-reference to the table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</w:tc>
      </w:tr>
    </w:tbl>
    <w:bookmarkEnd w:id="40"/>
    <w:bookmarkEnd w:id="41"/>
    <w:bookmarkStart w:id="47" w:name="reference-figures"/>
    <w:p>
      <w:pPr>
        <w:pStyle w:val="Heading2"/>
      </w:pPr>
      <w:r>
        <w:t xml:space="preserve">Reference figures</w:t>
      </w:r>
    </w:p>
    <w:bookmarkStart w:id="46" w:name="figure-1"/>
    <w:p>
      <w:pPr>
        <w:pStyle w:val="Heading4"/>
      </w:pPr>
      <w:r>
        <w:t xml:space="preserve">Figure 1</w:t>
      </w:r>
    </w:p>
    <w:p>
      <w:pPr>
        <w:pStyle w:val="Compact"/>
        <w:numPr>
          <w:ilvl w:val="0"/>
          <w:numId w:val="1019"/>
        </w:numPr>
      </w:pPr>
      <w:r>
        <w:t xml:space="preserve">Assign a label to the figure;</w:t>
      </w:r>
    </w:p>
    <w:p>
      <w:pPr>
        <w:pStyle w:val="Compact"/>
        <w:numPr>
          <w:ilvl w:val="0"/>
          <w:numId w:val="1020"/>
        </w:numPr>
      </w:pPr>
      <w:r>
        <w:t xml:space="preserve">Replace the placeholder text in bold with a cross-reference to the figure;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1"/>
        </w:numPr>
      </w:pPr>
      <w:r>
        <w:t xml:space="preserve">Adjust the dimensions of the figure until you are happy with them.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VerbatimChar"/>
                </w:rPr>
                <w:t xml:space="preserve">fig-width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VerbatimChar"/>
                </w:rPr>
                <w:t xml:space="preserve">fig-height</w:t>
              </w:r>
            </w:hyperlink>
            <w:r>
              <w:t xml:space="preserve"> </w:t>
            </w:r>
            <w:r>
              <w:t xml:space="preserve">options to adjust figure dimensions</w:t>
            </w:r>
          </w:p>
        </w:tc>
      </w:tr>
    </w:tbl>
    <w:bookmarkEnd w:id="46"/>
    <w:bookmarkEnd w:id="47"/>
    <w:bookmarkStart w:id="51" w:name="reference-code-chunks"/>
    <w:p>
      <w:pPr>
        <w:pStyle w:val="Heading2"/>
      </w:pPr>
      <w:r>
        <w:t xml:space="preserve">Reference code chunks</w:t>
      </w:r>
    </w:p>
    <w:p>
      <w:pPr>
        <w:pStyle w:val="Compact"/>
        <w:numPr>
          <w:ilvl w:val="0"/>
          <w:numId w:val="1023"/>
        </w:numPr>
      </w:pPr>
      <w:r>
        <w:t xml:space="preserve">Add a caption to the code chunk for your R implementation of the logistic regression;</w:t>
      </w:r>
    </w:p>
    <w:p>
      <w:pPr>
        <w:pStyle w:val="Compact"/>
        <w:numPr>
          <w:ilvl w:val="0"/>
          <w:numId w:val="1024"/>
        </w:numPr>
      </w:pPr>
      <w:r>
        <w:t xml:space="preserve">Assign a label to the code chunk;</w:t>
      </w:r>
    </w:p>
    <w:p>
      <w:pPr>
        <w:pStyle w:val="Compact"/>
        <w:numPr>
          <w:ilvl w:val="0"/>
          <w:numId w:val="1025"/>
        </w:numPr>
      </w:pPr>
      <w:r>
        <w:t xml:space="preserve">Replace the placeholder text in bold with a cross-reference to the code chunk.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bookmarkEnd w:id="51"/>
    <w:bookmarkStart w:id="59" w:name="add-bibliographic-references"/>
    <w:p>
      <w:pPr>
        <w:pStyle w:val="Heading2"/>
      </w:pPr>
      <w:r>
        <w:t xml:space="preserve">Add bibliographic references</w:t>
      </w:r>
    </w:p>
    <w:p>
      <w:pPr>
        <w:pStyle w:val="Compact"/>
        <w:numPr>
          <w:ilvl w:val="0"/>
          <w:numId w:val="1027"/>
        </w:numPr>
      </w:pPr>
      <w:r>
        <w:t xml:space="preserve">Create a bibliography (BibTeX)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in the same folder as your Quarto notebook;</w:t>
      </w:r>
    </w:p>
    <w:p>
      <w:pPr>
        <w:pStyle w:val="Compact"/>
        <w:numPr>
          <w:ilvl w:val="0"/>
          <w:numId w:val="1028"/>
        </w:numPr>
      </w:pPr>
      <w:r>
        <w:t xml:space="preserve">Link the BibTeX file by adding it to the YAML header of your Quarto notebook;</w:t>
      </w:r>
    </w:p>
    <w:p>
      <w:pPr>
        <w:pStyle w:val="Compact"/>
        <w:numPr>
          <w:ilvl w:val="0"/>
          <w:numId w:val="1029"/>
        </w:numPr>
      </w:pPr>
      <w:r>
        <w:t xml:space="preserve">Add a new reference for</w:t>
      </w:r>
      <w:r>
        <w:t xml:space="preserve"> </w:t>
      </w:r>
      <w:hyperlink r:id="rId52">
        <w:r>
          <w:rPr>
            <w:rStyle w:val="Hyperlink"/>
          </w:rPr>
          <w:t xml:space="preserve">10.1016/S0140-6736(24)02669-2</w:t>
        </w:r>
      </w:hyperlink>
      <w:r>
        <w:t xml:space="preserve"> </w:t>
      </w:r>
      <w:r>
        <w:t xml:space="preserve">in the BibTeX file;</w:t>
      </w:r>
    </w:p>
    <w:p>
      <w:pPr>
        <w:pStyle w:val="Compact"/>
        <w:numPr>
          <w:ilvl w:val="0"/>
          <w:numId w:val="1030"/>
        </w:numPr>
      </w:pPr>
      <w:r>
        <w:t xml:space="preserve">Create a new section named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in your Quarto notebook, after the</w:t>
      </w:r>
      <w:r>
        <w:t xml:space="preserve"> </w:t>
      </w:r>
      <w:r>
        <w:rPr>
          <w:rStyle w:val="VerbatimChar"/>
        </w:rPr>
        <w:t xml:space="preserve">Overview</w:t>
      </w:r>
      <w:r>
        <w:t xml:space="preserve"> </w:t>
      </w:r>
      <w:r>
        <w:t xml:space="preserve">section and before the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section;</w:t>
      </w:r>
    </w:p>
    <w:p>
      <w:pPr>
        <w:pStyle w:val="Compact"/>
        <w:numPr>
          <w:ilvl w:val="0"/>
          <w:numId w:val="1031"/>
        </w:numPr>
      </w:pPr>
      <w:r>
        <w:t xml:space="preserve">Insert the following sentence into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section, and replace the placeholder text in bold with the correct citation key from your BibTeX file.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citation</w:t>
      </w:r>
      <w:r>
        <w:rPr>
          <w:i/>
          <w:iCs/>
        </w:rPr>
        <w:t xml:space="preserve"> </w:t>
      </w:r>
      <w:r>
        <w:rPr>
          <w:i/>
          <w:iCs/>
        </w:rPr>
        <w:t xml:space="preserve">describes trends in suspected and confirmed monkeypox virus cases in the Democratic Republic of Congo using epidemiological and laboratory surveillance data collected from 2010 to 2023.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You can generate the BibTeX entry from the DOI using citation management tools;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citations</w:t>
              </w:r>
            </w:hyperlink>
            <w:r>
              <w:t xml:space="preserve"> </w:t>
            </w:r>
            <w:r>
              <w:t xml:space="preserve">for guidance on formatting references;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If you are not familiar with BibTeX files or programming, Quarto’s visual mode offers user-friendly tools for managing citations, allowing you to handle most of the previous steps automatically.</w:t>
            </w:r>
          </w:p>
          <w:p>
            <w:pPr>
              <w:pStyle w:val="FirstParagraph"/>
            </w:pPr>
            <w:pPr>
              <w:spacing w:after="16"/>
            </w:pPr>
            <w:r>
              <w:drawing>
                <wp:inline>
                  <wp:extent cx="2791326" cy="2733574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clipboard-137319318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326" cy="2733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9"/>
    <w:bookmarkStart w:id="63" w:name="format-ms-word-reports-with-styles"/>
    <w:p>
      <w:pPr>
        <w:pStyle w:val="Heading2"/>
      </w:pPr>
      <w:r>
        <w:t xml:space="preserve">Format MS Word reports with styles</w:t>
      </w:r>
    </w:p>
    <w:p>
      <w:pPr>
        <w:pStyle w:val="Compact"/>
        <w:numPr>
          <w:ilvl w:val="0"/>
          <w:numId w:val="1033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rendered MS Word report;</w:t>
      </w:r>
    </w:p>
    <w:p>
      <w:pPr>
        <w:pStyle w:val="Compact"/>
        <w:numPr>
          <w:ilvl w:val="0"/>
          <w:numId w:val="1034"/>
        </w:numPr>
      </w:pPr>
      <w:r>
        <w:t xml:space="preserve">To go further, try creating your own custom Word template and apply it to your report to explore how MS Word styles can be personalized.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Quarto documentation about Word templates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To create a template with customized MS Word styles, you will need to start with a Quarto-rendered MS Word report. This is because not all MS Word styles are supported by Quarto, and starting from a rendered report ensures better compatibility.</w:t>
            </w:r>
          </w:p>
        </w:tc>
      </w:tr>
    </w:tbl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1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1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1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1"/>
  </w:num>
  <w:num w:numId="1033">
    <w:abstractNumId w:val="992"/>
  </w:num>
  <w:num w:numId="1034">
    <w:abstractNumId w:val="992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52" Target="https://doi.org/10.1016/S0140-6736(24)02669-2" TargetMode="External" /><Relationship Type="http://schemas.openxmlformats.org/officeDocument/2006/relationships/hyperlink" Id="rId55" Target="https://quarto.org/docs/authoring/citations.html" TargetMode="External" /><Relationship Type="http://schemas.openxmlformats.org/officeDocument/2006/relationships/hyperlink" Id="rId50" Target="https://quarto.org/docs/authoring/cross-references.html#code-listings" TargetMode="External" /><Relationship Type="http://schemas.openxmlformats.org/officeDocument/2006/relationships/hyperlink" Id="rId44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45" Target="https://quarto.org/docs/computations/execution-options.html#figure-options" TargetMode="External" /><Relationship Type="http://schemas.openxmlformats.org/officeDocument/2006/relationships/hyperlink" Id="rId33" Target="https://quarto.org/docs/computations/inline-code.html" TargetMode="External" /><Relationship Type="http://schemas.openxmlformats.org/officeDocument/2006/relationships/hyperlink" Id="rId62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52" Target="https://doi.org/10.1016/S0140-6736(24)02669-2" TargetMode="External" /><Relationship Type="http://schemas.openxmlformats.org/officeDocument/2006/relationships/hyperlink" Id="rId55" Target="https://quarto.org/docs/authoring/citations.html" TargetMode="External" /><Relationship Type="http://schemas.openxmlformats.org/officeDocument/2006/relationships/hyperlink" Id="rId50" Target="https://quarto.org/docs/authoring/cross-references.html#code-listings" TargetMode="External" /><Relationship Type="http://schemas.openxmlformats.org/officeDocument/2006/relationships/hyperlink" Id="rId44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45" Target="https://quarto.org/docs/computations/execution-options.html#figure-options" TargetMode="External" /><Relationship Type="http://schemas.openxmlformats.org/officeDocument/2006/relationships/hyperlink" Id="rId33" Target="https://quarto.org/docs/computations/inline-code.html" TargetMode="External" /><Relationship Type="http://schemas.openxmlformats.org/officeDocument/2006/relationships/hyperlink" Id="rId62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reports</dc:title>
  <dc:creator>Hélène Langet</dc:creator>
  <dc:language>en-US</dc:language>
  <cp:keywords/>
  <dcterms:created xsi:type="dcterms:W3CDTF">2025-02-04T15:19:35Z</dcterms:created>
  <dcterms:modified xsi:type="dcterms:W3CDTF">2025-02-04T15:19:35Z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../vancouver.csl</vt:lpwstr>
  </property>
  <property fmtid="{D5CDD505-2E9C-101B-9397-08002B2CF9AE}" pid="9" name="date">
    <vt:lpwstr>2025-02-04</vt:lpwstr>
  </property>
  <property fmtid="{D5CDD505-2E9C-101B-9397-08002B2CF9AE}" pid="10" name="default">
    <vt:lpwstr>True</vt:lpwstr>
  </property>
  <property fmtid="{D5CDD505-2E9C-101B-9397-08002B2CF9AE}" pid="11" name="editor">
    <vt:lpwstr>source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resources">
    <vt:lpwstr/>
  </property>
  <property fmtid="{D5CDD505-2E9C-101B-9397-08002B2CF9AE}" pid="19" name="subtitle">
    <vt:lpwstr>📋 Instructions</vt:lpwstr>
  </property>
  <property fmtid="{D5CDD505-2E9C-101B-9397-08002B2CF9AE}" pid="20" name="toc-title">
    <vt:lpwstr>Table of contents</vt:lpwstr>
  </property>
</Properties>
</file>