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February 4,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65669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52434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1214</w:t>
      </w:r>
      <w:r>
        <w:t xml:space="preserve"> </w:t>
      </w:r>
      <w:r>
        <w:t xml:space="preserve">confirmed deaths.</w:t>
      </w:r>
    </w:p>
    <w:bookmarkEnd w:id="20"/>
    <w:bookmarkStart w:id="21" w:name="background"/>
    <w:p>
      <w:pPr>
        <w:pStyle w:val="Heading2"/>
      </w:pPr>
      <w:r>
        <w:t xml:space="preserve">2 Background</w:t>
      </w:r>
    </w:p>
    <w:p>
      <w:pPr>
        <w:pStyle w:val="FirstParagraph"/>
      </w:pPr>
      <w:r>
        <w:t xml:space="preserve">(1)</w:t>
      </w:r>
      <w:r>
        <w:t xml:space="preserve"> </w:t>
      </w:r>
      <w:r>
        <w:t xml:space="preserve">describes trends in suspected and confirmed monkeypox virus cases in the Democratic Republic of Congo using epidemiological and laboratory surveillance data collected from 2010 to 2023.</w:t>
      </w:r>
    </w:p>
    <w:bookmarkEnd w:id="21"/>
    <w:bookmarkStart w:id="24" w:name="population-characteristics"/>
    <w:p>
      <w:pPr>
        <w:pStyle w:val="Heading2"/>
      </w:pPr>
      <w:r>
        <w:t xml:space="preserve">3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65,669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33,114 (50%)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32,555 (50%)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13,235 (20%)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52,434 (80%)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64,455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1,214 (1.8%)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2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Demographic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61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65,669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64,455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1,214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33,114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32,504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610 (50%)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32,555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31,951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604 (50%)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(37,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34 (28, 41)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3"/>
        </w:tc>
      </w:tr>
    </w:tbl>
    <w:bookmarkEnd w:id="24"/>
    <w:bookmarkStart w:id="29" w:name="outbreak-evolution"/>
    <w:p>
      <w:pPr>
        <w:pStyle w:val="Heading2"/>
      </w:pPr>
      <w:r>
        <w:t xml:space="preserve">4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1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exercise5_files/figure-docx/fig-1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8"/>
        </w:tc>
      </w:tr>
    </w:tbl>
    <w:bookmarkEnd w:id="29"/>
    <w:bookmarkStart w:id="32" w:name="logistic-regression-model"/>
    <w:p>
      <w:pPr>
        <w:pStyle w:val="Heading2"/>
      </w:pPr>
      <w:r>
        <w:t xml:space="preserve">5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response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1">
        <w:r>
          <w:rPr>
            <w:rStyle w:val="Hyperlink"/>
          </w:rPr>
          <w:t xml:space="preserve">Listing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lst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 for modelling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#Logistic regression model</w:t>
            </w:r>
            <w:r>
              <w:br/>
            </w:r>
            <w:r>
              <w:rPr>
                <w:rStyle w:val="VerbatimChar"/>
              </w:rPr>
              <w:t xml:space="preserve">model &lt;- glm(death ~ bmi + age,</w:t>
            </w:r>
            <w:r>
              <w:br/>
            </w:r>
            <w:r>
              <w:rPr>
                <w:rStyle w:val="VerbatimChar"/>
              </w:rPr>
              <w:t xml:space="preserve">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family = binomial)</w:t>
            </w:r>
          </w:p>
          <w:bookmarkEnd w:id="30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1.03, 1.04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0.003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1"/>
        </w:tc>
      </w:tr>
    </w:tbl>
    <w:bookmarkEnd w:id="32"/>
    <w:bookmarkStart w:id="36" w:name="appendix"/>
    <w:p>
      <w:pPr>
        <w:pStyle w:val="Heading2"/>
      </w:pPr>
      <w:r>
        <w:t xml:space="preserve">6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Start w:id="35" w:name="refs"/>
    <w:bookmarkStart w:id="34" w:name="ref-Bangwen202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Bangwen E, Diavita R, De Vos E, Vakaniaki EH, Nundu SS, Mutombo A, et al. Suspected and confirmed mpox cases in DR congo: A retrospective analysis of national epidemiological and laboratory surveillance data, 2010–23. The Lancet [Internet]. 2025 Feb;405(10476):408–19. Available from:</w:t>
      </w:r>
      <w:r>
        <w:t xml:space="preserve"> </w:t>
      </w:r>
      <w:hyperlink r:id="rId33">
        <w:r>
          <w:rPr>
            <w:rStyle w:val="Hyperlink"/>
          </w:rPr>
          <w:t xml:space="preserve">http://dx.doi.org/10.1016/S0140-6736(24)02669-2</w:t>
        </w:r>
      </w:hyperlink>
    </w:p>
    <w:bookmarkEnd w:id="34"/>
    <w:bookmarkEnd w:id="35"/>
    <w:bookmarkEnd w:id="36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33" Target="http://dx.doi.org/10.1016/S0140-6736(24)02669-2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dx.doi.org/10.1016/S0140-6736(24)02669-2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2025-02-04T15:20:13Z</dcterms:created>
  <dcterms:modified xsi:type="dcterms:W3CDTF">2025-02-04T15:20:13Z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my_biblio.bib</vt:lpwstr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February 4, 2025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