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72"/>
        </w:rPr>
        <w:t>FINAL PP1 READINESS REPORT</w:t>
      </w:r>
    </w:p>
    <w:p>
      <w:pPr>
        <w:jc w:val="center"/>
      </w:pPr>
      <w:r>
        <w:rPr>
          <w:b/>
          <w:sz w:val="26"/>
        </w:rPr>
        <w:t>Stellar Spectra XAI Research Module — Progress Presentation 1</w:t>
      </w:r>
    </w:p>
    <w:p/>
    <w:p>
      <w:pPr>
        <w:pStyle w:val="Heading1"/>
      </w:pPr>
      <w:r>
        <w:t>1. Project Identification</w:t>
      </w:r>
    </w:p>
    <w:p>
      <w:r>
        <w:rPr>
          <w:b/>
        </w:rPr>
        <w:t xml:space="preserve">Project ID: </w:t>
      </w:r>
      <w:r>
        <w:t>J26-IT-449</w:t>
      </w:r>
    </w:p>
    <w:p>
      <w:r>
        <w:rPr>
          <w:b/>
        </w:rPr>
        <w:t xml:space="preserve">Research Title: </w:t>
      </w:r>
      <w:r>
        <w:t>Explainable AI for Astronomical Discovery using XAI and Uncertainty Quantification</w:t>
      </w:r>
    </w:p>
    <w:p>
      <w:r>
        <w:rPr>
          <w:b/>
        </w:rPr>
        <w:t xml:space="preserve">Component Title: </w:t>
      </w:r>
      <w:r>
        <w:t>SHAP-Driven Feature Discovery in Stellar Spectra</w:t>
      </w:r>
    </w:p>
    <w:p>
      <w:r>
        <w:rPr>
          <w:b/>
        </w:rPr>
        <w:t xml:space="preserve">Researcher: </w:t>
      </w:r>
      <w:r>
        <w:t>P.K. Edirisooriya</w:t>
      </w:r>
    </w:p>
    <w:p>
      <w:r>
        <w:rPr>
          <w:b/>
        </w:rPr>
        <w:t xml:space="preserve">Student ID: </w:t>
      </w:r>
      <w:r>
        <w:t>IT23330696</w:t>
      </w:r>
    </w:p>
    <w:p>
      <w:r>
        <w:rPr>
          <w:b/>
        </w:rPr>
        <w:t xml:space="preserve">Course: </w:t>
      </w:r>
      <w:r>
        <w:t>IT4010 Research Project</w:t>
      </w:r>
    </w:p>
    <w:p>
      <w:r>
        <w:rPr>
          <w:b/>
        </w:rPr>
        <w:t xml:space="preserve">Assessment: </w:t>
      </w:r>
      <w:r>
        <w:t>Progress Presentation 1 (PP1)</w:t>
      </w:r>
    </w:p>
    <w:p>
      <w:r>
        <w:rPr>
          <w:b/>
        </w:rPr>
        <w:t xml:space="preserve">Primary Dataset: </w:t>
      </w:r>
      <w:r>
        <w:t>SDSS/APOGEE DR17 Stellar Spectra (1,039 authentic FITS files)</w:t>
      </w:r>
    </w:p>
    <w:p>
      <w:r>
        <w:rPr>
          <w:b/>
        </w:rPr>
        <w:t xml:space="preserve">Report Date: </w:t>
      </w:r>
      <w:r>
        <w:t>October 20, 2026</w:t>
      </w:r>
    </w:p>
    <w:p>
      <w:pPr>
        <w:pStyle w:val="Heading1"/>
      </w:pPr>
      <w:r>
        <w:t>2. Executive Summary</w:t>
      </w:r>
    </w:p>
    <w:p>
      <w:r>
        <w:t>This report confirms that Module 1 (Stellar Spectra Classification &amp; Explainable AI) is fully prepared for PP1 assessment. All research claims are independently verified, reproducible, and scientifically qualified. The following key deliverables have been completed and verified as of this report date:</w:t>
      </w:r>
    </w:p>
    <w:p>
      <w:pPr>
        <w:pStyle w:val="ListBullet"/>
      </w:pPr>
      <w:r>
        <w:t>1,000 authentic SDSS/APOGEE DR17 FITS spectra successfully downloaded and catalogued.</w:t>
      </w:r>
    </w:p>
    <w:p>
      <w:pPr>
        <w:pStyle w:val="ListBullet"/>
      </w:pPr>
      <w:r>
        <w:t>Zero-leakage dataset split: 700 Train / 150 Validation / 150 Test (verified via 2MASS object IDs).</w:t>
      </w:r>
    </w:p>
    <w:p>
      <w:pPr>
        <w:pStyle w:val="ListBullet"/>
      </w:pPr>
      <w:r>
        <w:t>Historical data leakage (102-sample overlap) detected, corrected, and fully documented.</w:t>
      </w:r>
    </w:p>
    <w:p>
      <w:pPr>
        <w:pStyle w:val="ListBullet"/>
      </w:pPr>
      <w:r>
        <w:t>Best model: 1D-CNN-BiLSTM — 77.33% Accuracy, 74.15% Balanced Accuracy, Macro F1: 0.6406 (clean split).</w:t>
      </w:r>
    </w:p>
    <w:p>
      <w:pPr>
        <w:pStyle w:val="ListBullet"/>
      </w:pPr>
      <w:r>
        <w:t>Gradient SHAP (shap.GradientExplainer) correctly implemented — terminology corrected from DeepSHAP.</w:t>
      </w:r>
    </w:p>
    <w:p>
      <w:pPr>
        <w:pStyle w:val="ListBullet"/>
      </w:pPr>
      <w:r>
        <w:t>AOPC Faithfulness: 6.30x advantage over random (p &lt; 1e-14, Wilcoxon signed-rank test).</w:t>
      </w:r>
    </w:p>
    <w:p>
      <w:pPr>
        <w:pStyle w:val="ListBullet"/>
      </w:pPr>
      <w:r>
        <w:t>Jaccard Stability: 80.69% at SNR=100, 77.68% at SNR=50 (robust to APOGEE survey noise).</w:t>
      </w:r>
    </w:p>
    <w:p>
      <w:pPr>
        <w:pStyle w:val="ListBullet"/>
      </w:pPr>
      <w:r>
        <w:t>Atomic line alignment: 10.53% (p=0.538, not significant) — scientifically qualified as inconclusive.</w:t>
      </w:r>
    </w:p>
    <w:p>
      <w:pPr>
        <w:pStyle w:val="ListBullet"/>
      </w:pPr>
      <w:r>
        <w:t>Wilson score confidence intervals computed for all minority classes (A, B, F).</w:t>
      </w:r>
    </w:p>
    <w:p>
      <w:pPr>
        <w:pStyle w:val="ListBullet"/>
      </w:pPr>
      <w:r>
        <w:t>53/53 automated tests passing (new direct recomputation and astronomical object isolation tests added).</w:t>
      </w:r>
    </w:p>
    <w:p>
      <w:pPr>
        <w:pStyle w:val="ListBullet"/>
      </w:pPr>
      <w:r>
        <w:t>All 23 audit reports (01–23) generated and filed in reports/.</w:t>
      </w:r>
    </w:p>
    <w:p>
      <w:pPr>
        <w:pStyle w:val="ListBullet"/>
      </w:pPr>
      <w:r>
        <w:t>Streamlit app updated: correct terminology, corrected checkpoint path, correct metrics.</w:t>
      </w:r>
    </w:p>
    <w:p>
      <w:pPr>
        <w:pStyle w:val="ListBullet"/>
      </w:pPr>
      <w:r>
        <w:t>PP1 Presentation (PPTX) and Speaker Notes (DOCX) prepared.</w:t>
      </w:r>
    </w:p>
    <w:p>
      <w:pPr>
        <w:pStyle w:val="ListBullet"/>
      </w:pPr>
      <w:r>
        <w:t>Panel Q&amp;A preparation document (DOCX) prepared.</w:t>
      </w:r>
    </w:p>
    <w:p>
      <w:pPr>
        <w:pStyle w:val="ListBullet"/>
      </w:pPr>
      <w:r>
        <w:t>Final ZIP package generated: MODULE1_STELLAR_SPECTRA_PP1_FINAL_VERIFIED.zip</w:t>
      </w:r>
    </w:p>
    <w:p>
      <w:pPr>
        <w:pStyle w:val="Heading1"/>
      </w:pPr>
      <w:r>
        <w:t>3. Verified Quantitative Research Results</w:t>
      </w:r>
    </w:p>
    <w:p>
      <w:r>
        <w:t>All metrics below were independently recomputed directly from model checkpoint logits against ground-truth labels. They were not copied from JSON files.</w:t>
      </w:r>
    </w:p>
    <w:p>
      <w:pPr>
        <w:pStyle w:val="Heading2"/>
      </w:pPr>
      <w:r>
        <w:t>3.1 Classification Performance — Clean Zero-Leakage Test 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Confidence Interval</w:t>
            </w:r>
          </w:p>
        </w:tc>
        <w:tc>
          <w:tcPr>
            <w:tcW w:type="dxa" w:w="2160"/>
          </w:tcPr>
          <w:p>
            <w:r>
              <w:rPr>
                <w:b/>
              </w:rPr>
              <w:t>Status</w:t>
            </w:r>
          </w:p>
        </w:tc>
      </w:tr>
      <w:tr>
        <w:tc>
          <w:tcPr>
            <w:tcW w:type="dxa" w:w="2160"/>
          </w:tcPr>
          <w:p>
            <w:r>
              <w:t>Overall Accuracy</w:t>
            </w:r>
          </w:p>
        </w:tc>
        <w:tc>
          <w:tcPr>
            <w:tcW w:type="dxa" w:w="2160"/>
          </w:tcPr>
          <w:p>
            <w:r>
              <w:t>77.33% (116/150)</w:t>
            </w:r>
          </w:p>
        </w:tc>
        <w:tc>
          <w:tcPr>
            <w:tcW w:type="dxa" w:w="2160"/>
          </w:tcPr>
          <w:p>
            <w:r>
              <w:t>Wilson 95% CI: [70.00%, 83.30%]</w:t>
            </w:r>
          </w:p>
        </w:tc>
        <w:tc>
          <w:tcPr>
            <w:tcW w:type="dxa" w:w="2160"/>
          </w:tcPr>
          <w:p>
            <w:r>
              <w:t>VERIFIED</w:t>
            </w:r>
          </w:p>
        </w:tc>
      </w:tr>
      <w:tr>
        <w:tc>
          <w:tcPr>
            <w:tcW w:type="dxa" w:w="2160"/>
          </w:tcPr>
          <w:p>
            <w:r>
              <w:t>Balanced Accuracy</w:t>
            </w:r>
          </w:p>
        </w:tc>
        <w:tc>
          <w:tcPr>
            <w:tcW w:type="dxa" w:w="2160"/>
          </w:tcPr>
          <w:p>
            <w:r>
              <w:t>74.15%</w:t>
            </w:r>
          </w:p>
        </w:tc>
        <w:tc>
          <w:tcPr>
            <w:tcW w:type="dxa" w:w="2160"/>
          </w:tcPr>
          <w:p>
            <w:r>
              <w:t>—</w:t>
            </w:r>
          </w:p>
        </w:tc>
        <w:tc>
          <w:tcPr>
            <w:tcW w:type="dxa" w:w="2160"/>
          </w:tcPr>
          <w:p>
            <w:r>
              <w:t>VERIFIED</w:t>
            </w:r>
          </w:p>
        </w:tc>
      </w:tr>
      <w:tr>
        <w:tc>
          <w:tcPr>
            <w:tcW w:type="dxa" w:w="2160"/>
          </w:tcPr>
          <w:p>
            <w:r>
              <w:t>Macro Precision</w:t>
            </w:r>
          </w:p>
        </w:tc>
        <w:tc>
          <w:tcPr>
            <w:tcW w:type="dxa" w:w="2160"/>
          </w:tcPr>
          <w:p>
            <w:r>
              <w:t>61.10%</w:t>
            </w:r>
          </w:p>
        </w:tc>
        <w:tc>
          <w:tcPr>
            <w:tcW w:type="dxa" w:w="2160"/>
          </w:tcPr>
          <w:p>
            <w:r>
              <w:t>—</w:t>
            </w:r>
          </w:p>
        </w:tc>
        <w:tc>
          <w:tcPr>
            <w:tcW w:type="dxa" w:w="2160"/>
          </w:tcPr>
          <w:p>
            <w:r>
              <w:t>VERIFIED</w:t>
            </w:r>
          </w:p>
        </w:tc>
      </w:tr>
      <w:tr>
        <w:tc>
          <w:tcPr>
            <w:tcW w:type="dxa" w:w="2160"/>
          </w:tcPr>
          <w:p>
            <w:r>
              <w:t>Macro Recall</w:t>
            </w:r>
          </w:p>
        </w:tc>
        <w:tc>
          <w:tcPr>
            <w:tcW w:type="dxa" w:w="2160"/>
          </w:tcPr>
          <w:p>
            <w:r>
              <w:t>74.15%</w:t>
            </w:r>
          </w:p>
        </w:tc>
        <w:tc>
          <w:tcPr>
            <w:tcW w:type="dxa" w:w="2160"/>
          </w:tcPr>
          <w:p>
            <w:r>
              <w:t>—</w:t>
            </w:r>
          </w:p>
        </w:tc>
        <w:tc>
          <w:tcPr>
            <w:tcW w:type="dxa" w:w="2160"/>
          </w:tcPr>
          <w:p>
            <w:r>
              <w:t>VERIFIED</w:t>
            </w:r>
          </w:p>
        </w:tc>
      </w:tr>
      <w:tr>
        <w:tc>
          <w:tcPr>
            <w:tcW w:type="dxa" w:w="2160"/>
          </w:tcPr>
          <w:p>
            <w:r>
              <w:t>Macro F1-Score</w:t>
            </w:r>
          </w:p>
        </w:tc>
        <w:tc>
          <w:tcPr>
            <w:tcW w:type="dxa" w:w="2160"/>
          </w:tcPr>
          <w:p>
            <w:r>
              <w:t>0.6406</w:t>
            </w:r>
          </w:p>
        </w:tc>
        <w:tc>
          <w:tcPr>
            <w:tcW w:type="dxa" w:w="2160"/>
          </w:tcPr>
          <w:p>
            <w:r>
              <w:t>—</w:t>
            </w:r>
          </w:p>
        </w:tc>
        <w:tc>
          <w:tcPr>
            <w:tcW w:type="dxa" w:w="2160"/>
          </w:tcPr>
          <w:p>
            <w:r>
              <w:t>VERIFIED</w:t>
            </w:r>
          </w:p>
        </w:tc>
      </w:tr>
      <w:tr>
        <w:tc>
          <w:tcPr>
            <w:tcW w:type="dxa" w:w="2160"/>
          </w:tcPr>
          <w:p>
            <w:r>
              <w:t>Weighted F1-Score</w:t>
            </w:r>
          </w:p>
        </w:tc>
        <w:tc>
          <w:tcPr>
            <w:tcW w:type="dxa" w:w="2160"/>
          </w:tcPr>
          <w:p>
            <w:r>
              <w:t>0.7866</w:t>
            </w:r>
          </w:p>
        </w:tc>
        <w:tc>
          <w:tcPr>
            <w:tcW w:type="dxa" w:w="2160"/>
          </w:tcPr>
          <w:p>
            <w:r>
              <w:t>—</w:t>
            </w:r>
          </w:p>
        </w:tc>
        <w:tc>
          <w:tcPr>
            <w:tcW w:type="dxa" w:w="2160"/>
          </w:tcPr>
          <w:p>
            <w:r>
              <w:t>VERIFIED</w:t>
            </w:r>
          </w:p>
        </w:tc>
      </w:tr>
    </w:tbl>
    <w:p/>
    <w:p>
      <w:pPr>
        <w:pStyle w:val="Heading2"/>
      </w:pPr>
      <w:r>
        <w:t>3.2 Class-Level Performance with Wilson Score Intervals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Support (Test)</w:t>
            </w:r>
          </w:p>
        </w:tc>
        <w:tc>
          <w:tcPr>
            <w:tcW w:type="dxa" w:w="1728"/>
          </w:tcPr>
          <w:p>
            <w:r>
              <w:rPr>
                <w:b/>
              </w:rPr>
              <w:t>Recall</w:t>
            </w:r>
          </w:p>
        </w:tc>
        <w:tc>
          <w:tcPr>
            <w:tcW w:type="dxa" w:w="1728"/>
          </w:tcPr>
          <w:p>
            <w:r>
              <w:rPr>
                <w:b/>
              </w:rPr>
              <w:t>F1-Score</w:t>
            </w:r>
          </w:p>
        </w:tc>
        <w:tc>
          <w:tcPr>
            <w:tcW w:type="dxa" w:w="1728"/>
          </w:tcPr>
          <w:p>
            <w:r>
              <w:rPr>
                <w:b/>
              </w:rPr>
              <w:t>95% Wilson CI (Recall)</w:t>
            </w:r>
          </w:p>
        </w:tc>
      </w:tr>
      <w:tr>
        <w:tc>
          <w:tcPr>
            <w:tcW w:type="dxa" w:w="1728"/>
          </w:tcPr>
          <w:p>
            <w:r>
              <w:t>A (7,500–10,000 K)</w:t>
            </w:r>
          </w:p>
        </w:tc>
        <w:tc>
          <w:tcPr>
            <w:tcW w:type="dxa" w:w="1728"/>
          </w:tcPr>
          <w:p>
            <w:r>
              <w:t>4</w:t>
            </w:r>
          </w:p>
        </w:tc>
        <w:tc>
          <w:tcPr>
            <w:tcW w:type="dxa" w:w="1728"/>
          </w:tcPr>
          <w:p>
            <w:r>
              <w:t>50.00% (2/4)</w:t>
            </w:r>
          </w:p>
        </w:tc>
        <w:tc>
          <w:tcPr>
            <w:tcW w:type="dxa" w:w="1728"/>
          </w:tcPr>
          <w:p>
            <w:r>
              <w:t>0.5714</w:t>
            </w:r>
          </w:p>
        </w:tc>
        <w:tc>
          <w:tcPr>
            <w:tcW w:type="dxa" w:w="1728"/>
          </w:tcPr>
          <w:p>
            <w:r>
              <w:t>[15.00%, 85.00%]</w:t>
            </w:r>
          </w:p>
        </w:tc>
      </w:tr>
      <w:tr>
        <w:tc>
          <w:tcPr>
            <w:tcW w:type="dxa" w:w="1728"/>
          </w:tcPr>
          <w:p>
            <w:r>
              <w:t>B (10,000–30,000 K)</w:t>
            </w:r>
          </w:p>
        </w:tc>
        <w:tc>
          <w:tcPr>
            <w:tcW w:type="dxa" w:w="1728"/>
          </w:tcPr>
          <w:p>
            <w:r>
              <w:t>2</w:t>
            </w:r>
          </w:p>
        </w:tc>
        <w:tc>
          <w:tcPr>
            <w:tcW w:type="dxa" w:w="1728"/>
          </w:tcPr>
          <w:p>
            <w:r>
              <w:t>100.00% (2/2)</w:t>
            </w:r>
          </w:p>
        </w:tc>
        <w:tc>
          <w:tcPr>
            <w:tcW w:type="dxa" w:w="1728"/>
          </w:tcPr>
          <w:p>
            <w:r>
              <w:t>0.5714</w:t>
            </w:r>
          </w:p>
        </w:tc>
        <w:tc>
          <w:tcPr>
            <w:tcW w:type="dxa" w:w="1728"/>
          </w:tcPr>
          <w:p>
            <w:r>
              <w:t>[34.24%, 100.00%] — DO NOT GENERALISE</w:t>
            </w:r>
          </w:p>
        </w:tc>
      </w:tr>
      <w:tr>
        <w:tc>
          <w:tcPr>
            <w:tcW w:type="dxa" w:w="1728"/>
          </w:tcPr>
          <w:p>
            <w:r>
              <w:t>F (6,000–7,500 K)</w:t>
            </w:r>
          </w:p>
        </w:tc>
        <w:tc>
          <w:tcPr>
            <w:tcW w:type="dxa" w:w="1728"/>
          </w:tcPr>
          <w:p>
            <w:r>
              <w:t>9</w:t>
            </w:r>
          </w:p>
        </w:tc>
        <w:tc>
          <w:tcPr>
            <w:tcW w:type="dxa" w:w="1728"/>
          </w:tcPr>
          <w:p>
            <w:r>
              <w:t>66.67% (6/9)</w:t>
            </w:r>
          </w:p>
        </w:tc>
        <w:tc>
          <w:tcPr>
            <w:tcW w:type="dxa" w:w="1728"/>
          </w:tcPr>
          <w:p>
            <w:r>
              <w:t>0.5217</w:t>
            </w:r>
          </w:p>
        </w:tc>
        <w:tc>
          <w:tcPr>
            <w:tcW w:type="dxa" w:w="1728"/>
          </w:tcPr>
          <w:p>
            <w:r>
              <w:t>[35.42%, 87.94%]</w:t>
            </w:r>
          </w:p>
        </w:tc>
      </w:tr>
      <w:tr>
        <w:tc>
          <w:tcPr>
            <w:tcW w:type="dxa" w:w="1728"/>
          </w:tcPr>
          <w:p>
            <w:r>
              <w:t>G (5,000–6,000 K)</w:t>
            </w:r>
          </w:p>
        </w:tc>
        <w:tc>
          <w:tcPr>
            <w:tcW w:type="dxa" w:w="1728"/>
          </w:tcPr>
          <w:p>
            <w:r>
              <w:t>38</w:t>
            </w:r>
          </w:p>
        </w:tc>
        <w:tc>
          <w:tcPr>
            <w:tcW w:type="dxa" w:w="1728"/>
          </w:tcPr>
          <w:p>
            <w:r>
              <w:t>73.68% (28/38)</w:t>
            </w:r>
          </w:p>
        </w:tc>
        <w:tc>
          <w:tcPr>
            <w:tcW w:type="dxa" w:w="1728"/>
          </w:tcPr>
          <w:p>
            <w:r>
              <w:t>0.6667</w:t>
            </w:r>
          </w:p>
        </w:tc>
        <w:tc>
          <w:tcPr>
            <w:tcW w:type="dxa" w:w="1728"/>
          </w:tcPr>
          <w:p>
            <w:r>
              <w:t>[57.99%, 85.03%]</w:t>
            </w:r>
          </w:p>
        </w:tc>
      </w:tr>
      <w:tr>
        <w:tc>
          <w:tcPr>
            <w:tcW w:type="dxa" w:w="1728"/>
          </w:tcPr>
          <w:p>
            <w:r>
              <w:t>K (3,500–5,000 K)</w:t>
            </w:r>
          </w:p>
        </w:tc>
        <w:tc>
          <w:tcPr>
            <w:tcW w:type="dxa" w:w="1728"/>
          </w:tcPr>
          <w:p>
            <w:r>
              <w:t>97</w:t>
            </w:r>
          </w:p>
        </w:tc>
        <w:tc>
          <w:tcPr>
            <w:tcW w:type="dxa" w:w="1728"/>
          </w:tcPr>
          <w:p>
            <w:r>
              <w:t>80.41% (78/97)</w:t>
            </w:r>
          </w:p>
        </w:tc>
        <w:tc>
          <w:tcPr>
            <w:tcW w:type="dxa" w:w="1728"/>
          </w:tcPr>
          <w:p>
            <w:r>
              <w:t>0.8715</w:t>
            </w:r>
          </w:p>
        </w:tc>
        <w:tc>
          <w:tcPr>
            <w:tcW w:type="dxa" w:w="1728"/>
          </w:tcPr>
          <w:p>
            <w:r>
              <w:t>[71.42%, 87.09%]</w:t>
            </w:r>
          </w:p>
        </w:tc>
      </w:tr>
    </w:tbl>
    <w:p/>
    <w:p>
      <w:pPr>
        <w:pStyle w:val="Heading2"/>
      </w:pPr>
      <w:r>
        <w:t>3.3 Confusion Matrix (Clean Test Set, N=150)</w:t>
      </w:r>
    </w:p>
    <w:p>
      <w:r>
        <w:t>Row = True Class, Column = Predicted Class. Class ordering: A(0), B(1), F(2), G(3), K(4).</w:t>
      </w:r>
    </w:p>
    <w:p>
      <w:r>
        <w:rPr>
          <w:rFonts w:ascii="Courier New" w:hAnsi="Courier New"/>
        </w:rPr>
        <w:t xml:space="preserve">        A    B    F    G    K</w:t>
        <w:br/>
        <w:t>True A: 2    2    0    0    0   (Support=4)</w:t>
        <w:br/>
        <w:t>True B: 0    2    0    0    0   (Support=2)</w:t>
        <w:br/>
        <w:t>True F: 0    1    6    2    0   (Support=9)</w:t>
        <w:br/>
        <w:t>True G: 0    0    6   28    4   (Support=38)</w:t>
        <w:br/>
        <w:t>True K: 1    0    2   16   78   (Support=97)</w:t>
      </w:r>
    </w:p>
    <w:p>
      <w:pPr>
        <w:pStyle w:val="Heading2"/>
      </w:pPr>
      <w:r>
        <w:t>3.4 Model Comparison (All on Clean Split)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Accuracy</w:t>
            </w:r>
          </w:p>
        </w:tc>
        <w:tc>
          <w:tcPr>
            <w:tcW w:type="dxa" w:w="1728"/>
          </w:tcPr>
          <w:p>
            <w:r>
              <w:rPr>
                <w:b/>
              </w:rPr>
              <w:t>Balanced Acc.</w:t>
            </w:r>
          </w:p>
        </w:tc>
        <w:tc>
          <w:tcPr>
            <w:tcW w:type="dxa" w:w="1728"/>
          </w:tcPr>
          <w:p>
            <w:r>
              <w:rPr>
                <w:b/>
              </w:rPr>
              <w:t>Macro F1</w:t>
            </w:r>
          </w:p>
        </w:tc>
        <w:tc>
          <w:tcPr>
            <w:tcW w:type="dxa" w:w="1728"/>
          </w:tcPr>
          <w:p>
            <w:r>
              <w:rPr>
                <w:b/>
              </w:rPr>
              <w:t>Note</w:t>
            </w:r>
          </w:p>
        </w:tc>
      </w:tr>
      <w:tr>
        <w:tc>
          <w:tcPr>
            <w:tcW w:type="dxa" w:w="1728"/>
          </w:tcPr>
          <w:p>
            <w:r>
              <w:t>1D-CNN-BiLSTM (Proposed)</w:t>
            </w:r>
          </w:p>
        </w:tc>
        <w:tc>
          <w:tcPr>
            <w:tcW w:type="dxa" w:w="1728"/>
          </w:tcPr>
          <w:p>
            <w:r>
              <w:t>77.33%</w:t>
            </w:r>
          </w:p>
        </w:tc>
        <w:tc>
          <w:tcPr>
            <w:tcW w:type="dxa" w:w="1728"/>
          </w:tcPr>
          <w:p>
            <w:r>
              <w:t>74.15%</w:t>
            </w:r>
          </w:p>
        </w:tc>
        <w:tc>
          <w:tcPr>
            <w:tcW w:type="dxa" w:w="1728"/>
          </w:tcPr>
          <w:p>
            <w:r>
              <w:t>0.6406</w:t>
            </w:r>
          </w:p>
        </w:tc>
        <w:tc>
          <w:tcPr>
            <w:tcW w:type="dxa" w:w="1728"/>
          </w:tcPr>
          <w:p>
            <w:r>
              <w:t>Best deep model — handles minority classes</w:t>
            </w:r>
          </w:p>
        </w:tc>
      </w:tr>
      <w:tr>
        <w:tc>
          <w:tcPr>
            <w:tcW w:type="dxa" w:w="1728"/>
          </w:tcPr>
          <w:p>
            <w:r>
              <w:t>Random Forest (100 trees)</w:t>
            </w:r>
          </w:p>
        </w:tc>
        <w:tc>
          <w:tcPr>
            <w:tcW w:type="dxa" w:w="1728"/>
          </w:tcPr>
          <w:p>
            <w:r>
              <w:t>84.00%</w:t>
            </w:r>
          </w:p>
        </w:tc>
        <w:tc>
          <w:tcPr>
            <w:tcW w:type="dxa" w:w="1728"/>
          </w:tcPr>
          <w:p>
            <w:r>
              <w:t>56.87%</w:t>
            </w:r>
          </w:p>
        </w:tc>
        <w:tc>
          <w:tcPr>
            <w:tcW w:type="dxa" w:w="1728"/>
          </w:tcPr>
          <w:p>
            <w:r>
              <w:t>0.5986</w:t>
            </w:r>
          </w:p>
        </w:tc>
        <w:tc>
          <w:tcPr>
            <w:tcW w:type="dxa" w:w="1728"/>
          </w:tcPr>
          <w:p>
            <w:r>
              <w:t>High accuracy, fails on rare classes</w:t>
            </w:r>
          </w:p>
        </w:tc>
      </w:tr>
      <w:tr>
        <w:tc>
          <w:tcPr>
            <w:tcW w:type="dxa" w:w="1728"/>
          </w:tcPr>
          <w:p>
            <w:r>
              <w:t>Logistic Regression (L2)</w:t>
            </w:r>
          </w:p>
        </w:tc>
        <w:tc>
          <w:tcPr>
            <w:tcW w:type="dxa" w:w="1728"/>
          </w:tcPr>
          <w:p>
            <w:r>
              <w:t>84.67%</w:t>
            </w:r>
          </w:p>
        </w:tc>
        <w:tc>
          <w:tcPr>
            <w:tcW w:type="dxa" w:w="1728"/>
          </w:tcPr>
          <w:p>
            <w:r>
              <w:t>52.39%</w:t>
            </w:r>
          </w:p>
        </w:tc>
        <w:tc>
          <w:tcPr>
            <w:tcW w:type="dxa" w:w="1728"/>
          </w:tcPr>
          <w:p>
            <w:r>
              <w:t>0.5471</w:t>
            </w:r>
          </w:p>
        </w:tc>
        <w:tc>
          <w:tcPr>
            <w:tcW w:type="dxa" w:w="1728"/>
          </w:tcPr>
          <w:p>
            <w:r>
              <w:t>Biased toward majority class K</w:t>
            </w:r>
          </w:p>
        </w:tc>
      </w:tr>
      <w:tr>
        <w:tc>
          <w:tcPr>
            <w:tcW w:type="dxa" w:w="1728"/>
          </w:tcPr>
          <w:p>
            <w:r>
              <w:t>Majority Classifier</w:t>
            </w:r>
          </w:p>
        </w:tc>
        <w:tc>
          <w:tcPr>
            <w:tcW w:type="dxa" w:w="1728"/>
          </w:tcPr>
          <w:p>
            <w:r>
              <w:t>64.67%</w:t>
            </w:r>
          </w:p>
        </w:tc>
        <w:tc>
          <w:tcPr>
            <w:tcW w:type="dxa" w:w="1728"/>
          </w:tcPr>
          <w:p>
            <w:r>
              <w:t>20.00%</w:t>
            </w:r>
          </w:p>
        </w:tc>
        <w:tc>
          <w:tcPr>
            <w:tcW w:type="dxa" w:w="1728"/>
          </w:tcPr>
          <w:p>
            <w:r>
              <w:t>0.1571</w:t>
            </w:r>
          </w:p>
        </w:tc>
        <w:tc>
          <w:tcPr>
            <w:tcW w:type="dxa" w:w="1728"/>
          </w:tcPr>
          <w:p>
            <w:r>
              <w:t>Trivial baseline</w:t>
            </w:r>
          </w:p>
        </w:tc>
      </w:tr>
      <w:tr>
        <w:tc>
          <w:tcPr>
            <w:tcW w:type="dxa" w:w="1728"/>
          </w:tcPr>
          <w:p>
            <w:r>
              <w:t>1D-ResNet</w:t>
            </w:r>
          </w:p>
        </w:tc>
        <w:tc>
          <w:tcPr>
            <w:tcW w:type="dxa" w:w="1728"/>
          </w:tcPr>
          <w:p>
            <w:r>
              <w:t>46.00%</w:t>
            </w:r>
          </w:p>
        </w:tc>
        <w:tc>
          <w:tcPr>
            <w:tcW w:type="dxa" w:w="1728"/>
          </w:tcPr>
          <w:p>
            <w:r>
              <w:t>42.69%</w:t>
            </w:r>
          </w:p>
        </w:tc>
        <w:tc>
          <w:tcPr>
            <w:tcW w:type="dxa" w:w="1728"/>
          </w:tcPr>
          <w:p>
            <w:r>
              <w:t>0.3644</w:t>
            </w:r>
          </w:p>
        </w:tc>
        <w:tc>
          <w:tcPr>
            <w:tcW w:type="dxa" w:w="1728"/>
          </w:tcPr>
          <w:p>
            <w:r>
              <w:t>Overfits clean split</w:t>
            </w:r>
          </w:p>
        </w:tc>
      </w:tr>
      <w:tr>
        <w:tc>
          <w:tcPr>
            <w:tcW w:type="dxa" w:w="1728"/>
          </w:tcPr>
          <w:p>
            <w:r>
              <w:t>Standard 1D-CNN</w:t>
            </w:r>
          </w:p>
        </w:tc>
        <w:tc>
          <w:tcPr>
            <w:tcW w:type="dxa" w:w="1728"/>
          </w:tcPr>
          <w:p>
            <w:r>
              <w:t>32.00%</w:t>
            </w:r>
          </w:p>
        </w:tc>
        <w:tc>
          <w:tcPr>
            <w:tcW w:type="dxa" w:w="1728"/>
          </w:tcPr>
          <w:p>
            <w:r>
              <w:t>29.17%</w:t>
            </w:r>
          </w:p>
        </w:tc>
        <w:tc>
          <w:tcPr>
            <w:tcW w:type="dxa" w:w="1728"/>
          </w:tcPr>
          <w:p>
            <w:r>
              <w:t>0.2818</w:t>
            </w:r>
          </w:p>
        </w:tc>
        <w:tc>
          <w:tcPr>
            <w:tcW w:type="dxa" w:w="1728"/>
          </w:tcPr>
          <w:p>
            <w:r>
              <w:t>Severe degradation</w:t>
            </w:r>
          </w:p>
        </w:tc>
      </w:tr>
    </w:tbl>
    <w:p>
      <w:r>
        <w:br/>
        <w:t>Key Finding: While classical ML achieves higher nominal accuracy (84%), 1D-CNN-BiLSTM achieves superior Balanced Accuracy (74.15% vs 56.87%), correctly resolving minority stellar types that classical models miss.</w:t>
      </w:r>
    </w:p>
    <w:p>
      <w:pPr>
        <w:pStyle w:val="Heading1"/>
      </w:pPr>
      <w:r>
        <w:t>4. Explainability Validation (Gradient SHAP)</w:t>
      </w:r>
    </w:p>
    <w:p>
      <w:pPr>
        <w:pStyle w:val="Heading2"/>
      </w:pPr>
      <w:r>
        <w:t>4.1 Terminology Correction</w:t>
      </w:r>
    </w:p>
    <w:p>
      <w:r>
        <w:t>IMPORTANT: The implementation uses shap.GradientExplainer — this is Gradient SHAP, NOT DeepSHAP (shap.DeepExplainer).</w:t>
        <w:br/>
        <w:br/>
        <w:t>Reason: PyTorch nn.LSTM modules are incompatible with the DeepLIFT graph tracing used by DeepSHAP. GradientExplainer integrates gradients over a reference distribution of real training spectra, providing a valid Shapley value approximation for recurrent architectures. This is a well-established, peer-reviewed XAI technique.</w:t>
        <w:br/>
        <w:br/>
        <w:t>All documents, reports, presentations, and the Streamlit app have been updated to use the correct terminology: Gradient SHAP.</w:t>
      </w:r>
    </w:p>
    <w:p>
      <w:pPr>
        <w:pStyle w:val="Heading2"/>
      </w:pPr>
      <w:r>
        <w:t>4.2 Scientific Line Alignment</w:t>
      </w:r>
    </w:p>
    <w:p>
      <w:r>
        <w:t>Attribution peaks from clean Gradient SHAP tensors were compared against 31 catalogued near-infrared atomic absorption lines (NIST + APOGEE survey references).</w:t>
        <w:br/>
        <w:br/>
        <w:t>Results:</w:t>
        <w:br/>
        <w:t xml:space="preserve">  - Total attribution peaks detected: 57 (prominence &gt;= 98.5th percentile)</w:t>
        <w:br/>
        <w:t xml:space="preserve">  - Catalog matches within ±3.5 Å: 6 peaks (O I, H Br14, N I, Si I, Mg I, O I)</w:t>
        <w:br/>
        <w:t xml:space="preserve">  - Observed alignment: 10.53% (6/57)</w:t>
        <w:br/>
        <w:t xml:space="preserve">  - Monte Carlo random baseline (1,000 iterations): 10.19% ± 3.94%</w:t>
        <w:br/>
        <w:t xml:space="preserve">  - Empirical p-value: 0.538 — NOT STATISTICALLY SIGNIFICANT (α = 0.05)</w:t>
        <w:br/>
        <w:br/>
        <w:t>SCIENTIFIC CONCLUSION (MANDATED):</w:t>
        <w:br/>
        <w:t>The observed narrow atomic-line alignment did not significantly exceed the random baseline under the selected matching methodology. Additional analysis is required to determine whether the model relies on broader spectral features, molecular bands, or continuum-related information.</w:t>
        <w:br/>
        <w:br/>
        <w:t>Broad-region attribution analysis suggests the highest attribution density is in the Red Window (16,470–17,000 Å, mean=0.005943), consistent with broad H-band CO bandhead features rather than isolated narrow atomic lines.</w:t>
      </w:r>
    </w:p>
    <w:p>
      <w:pPr>
        <w:pStyle w:val="Heading2"/>
      </w:pPr>
      <w:r>
        <w:t>4.3 AOPC Faithfulness — Statistically Verified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Evaluation Cohort</w:t>
            </w:r>
          </w:p>
        </w:tc>
        <w:tc>
          <w:tcPr>
            <w:tcW w:type="dxa" w:w="4320"/>
          </w:tcPr>
          <w:p>
            <w:r>
              <w:t>50 correctly classified test spectra</w:t>
            </w:r>
          </w:p>
        </w:tc>
      </w:tr>
      <w:tr>
        <w:tc>
          <w:tcPr>
            <w:tcW w:type="dxa" w:w="4320"/>
          </w:tcPr>
          <w:p>
            <w:r>
              <w:t>Mean AOPC (Top-k Gradient SHAP)</w:t>
            </w:r>
          </w:p>
        </w:tc>
        <w:tc>
          <w:tcPr>
            <w:tcW w:type="dxa" w:w="4320"/>
          </w:tcPr>
          <w:p>
            <w:r>
              <w:t>0.7507 ± 0.1898</w:t>
            </w:r>
          </w:p>
        </w:tc>
      </w:tr>
      <w:tr>
        <w:tc>
          <w:tcPr>
            <w:tcW w:type="dxa" w:w="4320"/>
          </w:tcPr>
          <w:p>
            <w:r>
              <w:t>Mean AOPC (Random Baseline)</w:t>
            </w:r>
          </w:p>
        </w:tc>
        <w:tc>
          <w:tcPr>
            <w:tcW w:type="dxa" w:w="4320"/>
          </w:tcPr>
          <w:p>
            <w:r>
              <w:t>0.1192 ± 0.1280</w:t>
            </w:r>
          </w:p>
        </w:tc>
      </w:tr>
      <w:tr>
        <w:tc>
          <w:tcPr>
            <w:tcW w:type="dxa" w:w="4320"/>
          </w:tcPr>
          <w:p>
            <w:r>
              <w:t>Faithfulness Advantage Ratio</w:t>
            </w:r>
          </w:p>
        </w:tc>
        <w:tc>
          <w:tcPr>
            <w:tcW w:type="dxa" w:w="4320"/>
          </w:tcPr>
          <w:p>
            <w:r>
              <w:t>6.30× (Top-k is 6.30× more faithful than random)</w:t>
            </w:r>
          </w:p>
        </w:tc>
      </w:tr>
      <w:tr>
        <w:tc>
          <w:tcPr>
            <w:tcW w:type="dxa" w:w="4320"/>
          </w:tcPr>
          <w:p>
            <w:r>
              <w:t>Paired t-test</w:t>
            </w:r>
          </w:p>
        </w:tc>
        <w:tc>
          <w:tcPr>
            <w:tcW w:type="dxa" w:w="4320"/>
          </w:tcPr>
          <w:p>
            <w:r>
              <w:t>t = 19.44, p = 1.12e-24</w:t>
            </w:r>
          </w:p>
        </w:tc>
      </w:tr>
      <w:tr>
        <w:tc>
          <w:tcPr>
            <w:tcW w:type="dxa" w:w="4320"/>
          </w:tcPr>
          <w:p>
            <w:r>
              <w:t>Wilcoxon Signed-Rank Test</w:t>
            </w:r>
          </w:p>
        </w:tc>
        <w:tc>
          <w:tcPr>
            <w:tcW w:type="dxa" w:w="4320"/>
          </w:tcPr>
          <w:p>
            <w:r>
              <w:t>W = 0.0, p = 1.78e-15</w:t>
            </w:r>
          </w:p>
        </w:tc>
      </w:tr>
      <w:tr>
        <w:tc>
          <w:tcPr>
            <w:tcW w:type="dxa" w:w="4320"/>
          </w:tcPr>
          <w:p>
            <w:r>
              <w:t>Conclusion</w:t>
            </w:r>
          </w:p>
        </w:tc>
        <w:tc>
          <w:tcPr>
            <w:tcW w:type="dxa" w:w="4320"/>
          </w:tcPr>
          <w:p>
            <w:r>
              <w:t>HIGHLY SIGNIFICANT — H₀ rejected (p &lt; 1e-14)</w:t>
            </w:r>
          </w:p>
        </w:tc>
      </w:tr>
    </w:tbl>
    <w:p/>
    <w:p>
      <w:pPr>
        <w:pStyle w:val="Heading2"/>
      </w:pPr>
      <w:r>
        <w:t>4.4 Jaccard Stability Under Survey Noise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APOGEE Regime</w:t>
            </w:r>
          </w:p>
        </w:tc>
        <w:tc>
          <w:tcPr>
            <w:tcW w:type="dxa" w:w="2160"/>
          </w:tcPr>
          <w:p>
            <w:r>
              <w:rPr>
                <w:b/>
              </w:rPr>
              <w:t>Noise (σ)</w:t>
            </w:r>
          </w:p>
        </w:tc>
        <w:tc>
          <w:tcPr>
            <w:tcW w:type="dxa" w:w="2160"/>
          </w:tcPr>
          <w:p>
            <w:r>
              <w:rPr>
                <w:b/>
              </w:rPr>
              <w:t>Mean Jaccard</w:t>
            </w:r>
          </w:p>
        </w:tc>
        <w:tc>
          <w:tcPr>
            <w:tcW w:type="dxa" w:w="2160"/>
          </w:tcPr>
          <w:p>
            <w:r>
              <w:rPr>
                <w:b/>
              </w:rPr>
              <w:t>Rating</w:t>
            </w:r>
          </w:p>
        </w:tc>
      </w:tr>
      <w:tr>
        <w:tc>
          <w:tcPr>
            <w:tcW w:type="dxa" w:w="2160"/>
          </w:tcPr>
          <w:p>
            <w:r>
              <w:t>High SNR (SNR=100)</w:t>
            </w:r>
          </w:p>
        </w:tc>
        <w:tc>
          <w:tcPr>
            <w:tcW w:type="dxa" w:w="2160"/>
          </w:tcPr>
          <w:p>
            <w:r>
              <w:t>0.01</w:t>
            </w:r>
          </w:p>
        </w:tc>
        <w:tc>
          <w:tcPr>
            <w:tcW w:type="dxa" w:w="2160"/>
          </w:tcPr>
          <w:p>
            <w:r>
              <w:t>80.69%</w:t>
            </w:r>
          </w:p>
        </w:tc>
        <w:tc>
          <w:tcPr>
            <w:tcW w:type="dxa" w:w="2160"/>
          </w:tcPr>
          <w:p>
            <w:r>
              <w:t>Excellent</w:t>
            </w:r>
          </w:p>
        </w:tc>
      </w:tr>
      <w:tr>
        <w:tc>
          <w:tcPr>
            <w:tcW w:type="dxa" w:w="2160"/>
          </w:tcPr>
          <w:p>
            <w:r>
              <w:t>Nominal Survey (SNR=50)</w:t>
            </w:r>
          </w:p>
        </w:tc>
        <w:tc>
          <w:tcPr>
            <w:tcW w:type="dxa" w:w="2160"/>
          </w:tcPr>
          <w:p>
            <w:r>
              <w:t>0.02</w:t>
            </w:r>
          </w:p>
        </w:tc>
        <w:tc>
          <w:tcPr>
            <w:tcW w:type="dxa" w:w="2160"/>
          </w:tcPr>
          <w:p>
            <w:r>
              <w:t>77.68%</w:t>
            </w:r>
          </w:p>
        </w:tc>
        <w:tc>
          <w:tcPr>
            <w:tcW w:type="dxa" w:w="2160"/>
          </w:tcPr>
          <w:p>
            <w:r>
              <w:t>Strong</w:t>
            </w:r>
          </w:p>
        </w:tc>
      </w:tr>
      <w:tr>
        <w:tc>
          <w:tcPr>
            <w:tcW w:type="dxa" w:w="2160"/>
          </w:tcPr>
          <w:p>
            <w:r>
              <w:t>Low SNR (SNR=25)</w:t>
            </w:r>
          </w:p>
        </w:tc>
        <w:tc>
          <w:tcPr>
            <w:tcW w:type="dxa" w:w="2160"/>
          </w:tcPr>
          <w:p>
            <w:r>
              <w:t>0.04</w:t>
            </w:r>
          </w:p>
        </w:tc>
        <w:tc>
          <w:tcPr>
            <w:tcW w:type="dxa" w:w="2160"/>
          </w:tcPr>
          <w:p>
            <w:r>
              <w:t>68.53%</w:t>
            </w:r>
          </w:p>
        </w:tc>
        <w:tc>
          <w:tcPr>
            <w:tcW w:type="dxa" w:w="2160"/>
          </w:tcPr>
          <w:p>
            <w:r>
              <w:t>Acceptable</w:t>
            </w:r>
          </w:p>
        </w:tc>
      </w:tr>
    </w:tbl>
    <w:p>
      <w:pPr>
        <w:pStyle w:val="Heading1"/>
      </w:pPr>
      <w:r>
        <w:t>5. Dataset Integrity and Zero-Leakage Verification</w:t>
      </w:r>
    </w:p>
    <w:p>
      <w:r>
        <w:t>The corrected dataset partitions (processed/corrected_clean/) were verified for strict astronomical object isolation using SDSS/APOGEE 2MASS object identifiers (objid).</w:t>
        <w:br/>
        <w:br/>
        <w:t>Results:</w:t>
        <w:br/>
        <w:t xml:space="preserve">  - Train ∩ Validation: 0 shared objects (VERIFIED)</w:t>
        <w:br/>
        <w:t xml:space="preserve">  - Train ∩ Test: 0 shared objects (VERIFIED)</w:t>
        <w:br/>
        <w:t xml:space="preserve">  - Validation ∩ Test: 0 shared objects (VERIFIED)</w:t>
        <w:br/>
        <w:t xml:space="preserve">  - Total unique 2MASS identifiers: 1,000 across 1,004 manifest entries</w:t>
        <w:br/>
        <w:br/>
        <w:t>Historical Issue: The original 01_data_preprocess.py used boolean mask slicing that duplicated 102 samples between train and test, inflating accuracy to 91.33%. This was identified in Report 04, corrected in train_corrected_split.py, and the clean benchmark of 77.33% was established and independently verified.</w:t>
      </w:r>
    </w:p>
    <w:p>
      <w:pPr>
        <w:pStyle w:val="Heading1"/>
      </w:pPr>
      <w:r>
        <w:t>6. Automated Test Suite</w:t>
      </w:r>
    </w:p>
    <w:p>
      <w:r>
        <w:t>Final test suite result: 53 / 53 tests PASSING (100% Pass Rate)</w:t>
        <w:br/>
        <w:t>Framework: PyTest 9.1.1 on Python 3.14.6 (Windows x64)</w:t>
        <w:br/>
        <w:t>Execution time: ~4.1 seconds</w:t>
        <w:br/>
        <w:br/>
        <w:t>New tests added in this session:</w:t>
        <w:br/>
        <w:t xml:space="preserve">  - test_direct_forward_pass_accuracy_recomputation: Independently recomputes 77.33% from model logits without reading JSON files.</w:t>
        <w:br/>
        <w:t xml:space="preserve">  - test_strict_astronomical_object_isolation: Verifies zero 2MASS objid overlap across all three partitions.</w:t>
        <w:br/>
        <w:t xml:space="preserve">  - test_gradient_shap_attribution_tensor_integrity: Validates (150, 4000, 5) shape and finiteness of clean Gradient SHAP tensor.</w:t>
      </w:r>
    </w:p>
    <w:p>
      <w:pPr>
        <w:pStyle w:val="Heading1"/>
      </w:pPr>
      <w:r>
        <w:t>7. Documentation and Deliverables</w:t>
      </w:r>
    </w:p>
    <w:p>
      <w:r>
        <w:t>All deliverables are present and verified in module1_stellar_spectra/: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File</w:t>
            </w:r>
          </w:p>
        </w:tc>
        <w:tc>
          <w:tcPr>
            <w:tcW w:type="dxa" w:w="2880"/>
          </w:tcPr>
          <w:p>
            <w:r>
              <w:rPr>
                <w:b/>
              </w:rPr>
              <w:t>Status</w:t>
            </w:r>
          </w:p>
        </w:tc>
      </w:tr>
      <w:tr>
        <w:tc>
          <w:tcPr>
            <w:tcW w:type="dxa" w:w="2880"/>
          </w:tcPr>
          <w:p>
            <w:r>
              <w:t>Audit Reports 01–23</w:t>
            </w:r>
          </w:p>
        </w:tc>
        <w:tc>
          <w:tcPr>
            <w:tcW w:type="dxa" w:w="2880"/>
          </w:tcPr>
          <w:p>
            <w:r>
              <w:t>reports/01_*.md through reports/23_*.md</w:t>
            </w:r>
          </w:p>
        </w:tc>
        <w:tc>
          <w:tcPr>
            <w:tcW w:type="dxa" w:w="2880"/>
          </w:tcPr>
          <w:p>
            <w:r>
              <w:t>COMPLETE</w:t>
            </w:r>
          </w:p>
        </w:tc>
      </w:tr>
      <w:tr>
        <w:tc>
          <w:tcPr>
            <w:tcW w:type="dxa" w:w="2880"/>
          </w:tcPr>
          <w:p>
            <w:r>
              <w:t>Research Methodology Doc</w:t>
            </w:r>
          </w:p>
        </w:tc>
        <w:tc>
          <w:tcPr>
            <w:tcW w:type="dxa" w:w="2880"/>
          </w:tcPr>
          <w:p>
            <w:r>
              <w:t>docs/STELLAR_SPECTRA_RESEARCH_METHODOLOGY.docx</w:t>
            </w:r>
          </w:p>
        </w:tc>
        <w:tc>
          <w:tcPr>
            <w:tcW w:type="dxa" w:w="2880"/>
          </w:tcPr>
          <w:p>
            <w:r>
              <w:t>COMPLETE</w:t>
            </w:r>
          </w:p>
        </w:tc>
      </w:tr>
      <w:tr>
        <w:tc>
          <w:tcPr>
            <w:tcW w:type="dxa" w:w="2880"/>
          </w:tcPr>
          <w:p>
            <w:r>
              <w:t>PP1 Preparation Doc</w:t>
            </w:r>
          </w:p>
        </w:tc>
        <w:tc>
          <w:tcPr>
            <w:tcW w:type="dxa" w:w="2880"/>
          </w:tcPr>
          <w:p>
            <w:r>
              <w:t>docs/STELLAR_SPECTRA_PP1_PREPARATION.docx</w:t>
            </w:r>
          </w:p>
        </w:tc>
        <w:tc>
          <w:tcPr>
            <w:tcW w:type="dxa" w:w="2880"/>
          </w:tcPr>
          <w:p>
            <w:r>
              <w:t>COMPLETE</w:t>
            </w:r>
          </w:p>
        </w:tc>
      </w:tr>
      <w:tr>
        <w:tc>
          <w:tcPr>
            <w:tcW w:type="dxa" w:w="2880"/>
          </w:tcPr>
          <w:p>
            <w:r>
              <w:t>Progress Report Doc</w:t>
            </w:r>
          </w:p>
        </w:tc>
        <w:tc>
          <w:tcPr>
            <w:tcW w:type="dxa" w:w="2880"/>
          </w:tcPr>
          <w:p>
            <w:r>
              <w:t>docs/STELLAR_SPECTRA_PROGRESS_REPORT.docx</w:t>
            </w:r>
          </w:p>
        </w:tc>
        <w:tc>
          <w:tcPr>
            <w:tcW w:type="dxa" w:w="2880"/>
          </w:tcPr>
          <w:p>
            <w:r>
              <w:t>COMPLETE</w:t>
            </w:r>
          </w:p>
        </w:tc>
      </w:tr>
      <w:tr>
        <w:tc>
          <w:tcPr>
            <w:tcW w:type="dxa" w:w="2880"/>
          </w:tcPr>
          <w:p>
            <w:r>
              <w:t>Panel Q&amp;A Doc</w:t>
            </w:r>
          </w:p>
        </w:tc>
        <w:tc>
          <w:tcPr>
            <w:tcW w:type="dxa" w:w="2880"/>
          </w:tcPr>
          <w:p>
            <w:r>
              <w:t>docs/STELLAR_SPECTRA_PANEL_QA.docx</w:t>
            </w:r>
          </w:p>
        </w:tc>
        <w:tc>
          <w:tcPr>
            <w:tcW w:type="dxa" w:w="2880"/>
          </w:tcPr>
          <w:p>
            <w:r>
              <w:t>COMPLETE</w:t>
            </w:r>
          </w:p>
        </w:tc>
      </w:tr>
      <w:tr>
        <w:tc>
          <w:tcPr>
            <w:tcW w:type="dxa" w:w="2880"/>
          </w:tcPr>
          <w:p>
            <w:r>
              <w:t>PP1 Compliance Matrix</w:t>
            </w:r>
          </w:p>
        </w:tc>
        <w:tc>
          <w:tcPr>
            <w:tcW w:type="dxa" w:w="2880"/>
          </w:tcPr>
          <w:p>
            <w:r>
              <w:t>docs/PP1_ASSESSMENT_COMPLIANCE_MATRIX.docx</w:t>
            </w:r>
          </w:p>
        </w:tc>
        <w:tc>
          <w:tcPr>
            <w:tcW w:type="dxa" w:w="2880"/>
          </w:tcPr>
          <w:p>
            <w:r>
              <w:t>COMPLETE</w:t>
            </w:r>
          </w:p>
        </w:tc>
      </w:tr>
      <w:tr>
        <w:tc>
          <w:tcPr>
            <w:tcW w:type="dxa" w:w="2880"/>
          </w:tcPr>
          <w:p>
            <w:r>
              <w:t>PP1 Presentation (PPTX)</w:t>
            </w:r>
          </w:p>
        </w:tc>
        <w:tc>
          <w:tcPr>
            <w:tcW w:type="dxa" w:w="2880"/>
          </w:tcPr>
          <w:p>
            <w:r>
              <w:t>presentation/STELLAR_SPECTRA_PP1_PRESENTATION.pptx</w:t>
            </w:r>
          </w:p>
        </w:tc>
        <w:tc>
          <w:tcPr>
            <w:tcW w:type="dxa" w:w="2880"/>
          </w:tcPr>
          <w:p>
            <w:r>
              <w:t>COMPLETE</w:t>
            </w:r>
          </w:p>
        </w:tc>
      </w:tr>
      <w:tr>
        <w:tc>
          <w:tcPr>
            <w:tcW w:type="dxa" w:w="2880"/>
          </w:tcPr>
          <w:p>
            <w:r>
              <w:t>Speaker Notes</w:t>
            </w:r>
          </w:p>
        </w:tc>
        <w:tc>
          <w:tcPr>
            <w:tcW w:type="dxa" w:w="2880"/>
          </w:tcPr>
          <w:p>
            <w:r>
              <w:t>presentation/PRESENTATION_SPEAKER_NOTES.docx</w:t>
            </w:r>
          </w:p>
        </w:tc>
        <w:tc>
          <w:tcPr>
            <w:tcW w:type="dxa" w:w="2880"/>
          </w:tcPr>
          <w:p>
            <w:r>
              <w:t>COMPLETE</w:t>
            </w:r>
          </w:p>
        </w:tc>
      </w:tr>
      <w:tr>
        <w:tc>
          <w:tcPr>
            <w:tcW w:type="dxa" w:w="2880"/>
          </w:tcPr>
          <w:p>
            <w:r>
              <w:t>Final PP1 Readiness Report</w:t>
            </w:r>
          </w:p>
        </w:tc>
        <w:tc>
          <w:tcPr>
            <w:tcW w:type="dxa" w:w="2880"/>
          </w:tcPr>
          <w:p>
            <w:r>
              <w:t>docs/FINAL_PP1_READINESS_REPORT.docx</w:t>
            </w:r>
          </w:p>
        </w:tc>
        <w:tc>
          <w:tcPr>
            <w:tcW w:type="dxa" w:w="2880"/>
          </w:tcPr>
          <w:p>
            <w:r>
              <w:t>COMPLETE</w:t>
            </w:r>
          </w:p>
        </w:tc>
      </w:tr>
      <w:tr>
        <w:tc>
          <w:tcPr>
            <w:tcW w:type="dxa" w:w="2880"/>
          </w:tcPr>
          <w:p>
            <w:r>
              <w:t>Streamlit Application</w:t>
            </w:r>
          </w:p>
        </w:tc>
        <w:tc>
          <w:tcPr>
            <w:tcW w:type="dxa" w:w="2880"/>
          </w:tcPr>
          <w:p>
            <w:r>
              <w:t>app.py (6 pages, Gradient SHAP, clean metrics)</w:t>
            </w:r>
          </w:p>
        </w:tc>
        <w:tc>
          <w:tcPr>
            <w:tcW w:type="dxa" w:w="2880"/>
          </w:tcPr>
          <w:p>
            <w:r>
              <w:t>COMPLETE</w:t>
            </w:r>
          </w:p>
        </w:tc>
      </w:tr>
      <w:tr>
        <w:tc>
          <w:tcPr>
            <w:tcW w:type="dxa" w:w="2880"/>
          </w:tcPr>
          <w:p>
            <w:r>
              <w:t>Model Checkpoints</w:t>
            </w:r>
          </w:p>
        </w:tc>
        <w:tc>
          <w:tcPr>
            <w:tcW w:type="dxa" w:w="2880"/>
          </w:tcPr>
          <w:p>
            <w:r>
              <w:t>models/corrected_split/{1d_cnn_bilstm,1d_resnet,standard_1d_cnn}.pth</w:t>
            </w:r>
          </w:p>
        </w:tc>
        <w:tc>
          <w:tcPr>
            <w:tcW w:type="dxa" w:w="2880"/>
          </w:tcPr>
          <w:p>
            <w:r>
              <w:t>COMPLETE</w:t>
            </w:r>
          </w:p>
        </w:tc>
      </w:tr>
      <w:tr>
        <w:tc>
          <w:tcPr>
            <w:tcW w:type="dxa" w:w="2880"/>
          </w:tcPr>
          <w:p>
            <w:r>
              <w:t>Clean SHAP Attributions</w:t>
            </w:r>
          </w:p>
        </w:tc>
        <w:tc>
          <w:tcPr>
            <w:tcW w:type="dxa" w:w="2880"/>
          </w:tcPr>
          <w:p>
            <w:r>
              <w:t>results/shap_attributions_clean.npz (150, 4000, 5)</w:t>
            </w:r>
          </w:p>
        </w:tc>
        <w:tc>
          <w:tcPr>
            <w:tcW w:type="dxa" w:w="2880"/>
          </w:tcPr>
          <w:p>
            <w:r>
              <w:t>COMPLETE</w:t>
            </w:r>
          </w:p>
        </w:tc>
      </w:tr>
      <w:tr>
        <w:tc>
          <w:tcPr>
            <w:tcW w:type="dxa" w:w="2880"/>
          </w:tcPr>
          <w:p>
            <w:r>
              <w:t>Clean Dataset Split</w:t>
            </w:r>
          </w:p>
        </w:tc>
        <w:tc>
          <w:tcPr>
            <w:tcW w:type="dxa" w:w="2880"/>
          </w:tcPr>
          <w:p>
            <w:r>
              <w:t>processed/corrected_clean/{train,val,test}.npz</w:t>
            </w:r>
          </w:p>
        </w:tc>
        <w:tc>
          <w:tcPr>
            <w:tcW w:type="dxa" w:w="2880"/>
          </w:tcPr>
          <w:p>
            <w:r>
              <w:t>COMPLETE</w:t>
            </w:r>
          </w:p>
        </w:tc>
      </w:tr>
      <w:tr>
        <w:tc>
          <w:tcPr>
            <w:tcW w:type="dxa" w:w="2880"/>
          </w:tcPr>
          <w:p>
            <w:r>
              <w:t>Automated Tests</w:t>
            </w:r>
          </w:p>
        </w:tc>
        <w:tc>
          <w:tcPr>
            <w:tcW w:type="dxa" w:w="2880"/>
          </w:tcPr>
          <w:p>
            <w:r>
              <w:t>tests/ — 53/53 passing</w:t>
            </w:r>
          </w:p>
        </w:tc>
        <w:tc>
          <w:tcPr>
            <w:tcW w:type="dxa" w:w="2880"/>
          </w:tcPr>
          <w:p>
            <w:r>
              <w:t>COMPLETE</w:t>
            </w:r>
          </w:p>
        </w:tc>
      </w:tr>
      <w:tr>
        <w:tc>
          <w:tcPr>
            <w:tcW w:type="dxa" w:w="2880"/>
          </w:tcPr>
          <w:p>
            <w:r>
              <w:t>Final ZIP Package</w:t>
            </w:r>
          </w:p>
        </w:tc>
        <w:tc>
          <w:tcPr>
            <w:tcW w:type="dxa" w:w="2880"/>
          </w:tcPr>
          <w:p>
            <w:r>
              <w:t>MODULE1_STELLAR_SPECTRA_PP1_FINAL_VERIFIED.zip</w:t>
            </w:r>
          </w:p>
        </w:tc>
        <w:tc>
          <w:tcPr>
            <w:tcW w:type="dxa" w:w="2880"/>
          </w:tcPr>
          <w:p>
            <w:r>
              <w:t>COMPLETE</w:t>
            </w:r>
          </w:p>
        </w:tc>
      </w:tr>
    </w:tbl>
    <w:p>
      <w:pPr>
        <w:pStyle w:val="Heading1"/>
      </w:pPr>
      <w:r>
        <w:t>8. Documented Scientific Limitations</w:t>
      </w:r>
    </w:p>
    <w:p>
      <w:pPr>
        <w:pStyle w:val="ListBullet"/>
      </w:pPr>
      <w:r>
        <w:t>Class imbalance: Classes A (N=4 test) and B (N=2 test) have very wide confidence intervals. B-class 100% recall is not generalisable.</w:t>
      </w:r>
    </w:p>
    <w:p>
      <w:pPr>
        <w:pStyle w:val="ListBullet"/>
      </w:pPr>
      <w:r>
        <w:t>Harvard proxy classes derived from TEFF only — spectroscopic classification requires additional criteria (luminosity class, line ratios) beyond temperature alone.</w:t>
      </w:r>
    </w:p>
    <w:p>
      <w:pPr>
        <w:pStyle w:val="ListBullet"/>
      </w:pPr>
      <w:r>
        <w:t>Atomic line alignment (p=0.538) is not statistically significant — no physical line discovery claim is made.</w:t>
      </w:r>
    </w:p>
    <w:p>
      <w:pPr>
        <w:pStyle w:val="ListBullet"/>
      </w:pPr>
      <w:r>
        <w:t>Gradient SHAP provides a gradient-integrated approximation to Shapley values, not exact Shapley values.</w:t>
      </w:r>
    </w:p>
    <w:p>
      <w:pPr>
        <w:pStyle w:val="ListBullet"/>
      </w:pPr>
      <w:r>
        <w:t>Molecular band comparison (CO, CN, OH) has not been performed — this is identified as future work.</w:t>
      </w:r>
    </w:p>
    <w:p>
      <w:pPr>
        <w:pStyle w:val="ListBullet"/>
      </w:pPr>
      <w:r>
        <w:t>Models were not evaluated on independent external datasets — generalisation is unknown.</w:t>
      </w:r>
    </w:p>
    <w:p>
      <w:pPr>
        <w:pStyle w:val="ListBullet"/>
      </w:pPr>
      <w:r>
        <w:t>APOGEE wavelength coverage (15,100–17,000 Å H-band) limits analysis to near-infrared features only.</w:t>
      </w:r>
    </w:p>
    <w:p>
      <w:pPr>
        <w:pStyle w:val="Heading1"/>
      </w:pPr>
      <w:r>
        <w:t>9. PP1 Assessment Readiness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Evidence</w:t>
            </w:r>
          </w:p>
        </w:tc>
        <w:tc>
          <w:tcPr>
            <w:tcW w:type="dxa" w:w="2880"/>
          </w:tcPr>
          <w:p>
            <w:r>
              <w:rPr>
                <w:b/>
              </w:rPr>
              <w:t>Status</w:t>
            </w:r>
          </w:p>
        </w:tc>
      </w:tr>
      <w:tr>
        <w:tc>
          <w:tcPr>
            <w:tcW w:type="dxa" w:w="2880"/>
          </w:tcPr>
          <w:p>
            <w:r>
              <w:t>Research problem clearly stated</w:t>
            </w:r>
          </w:p>
        </w:tc>
        <w:tc>
          <w:tcPr>
            <w:tcW w:type="dxa" w:w="2880"/>
          </w:tcPr>
          <w:p>
            <w:r>
              <w:t>Reports 01, Progress Report</w:t>
            </w:r>
          </w:p>
        </w:tc>
        <w:tc>
          <w:tcPr>
            <w:tcW w:type="dxa" w:w="2880"/>
          </w:tcPr>
          <w:p>
            <w:r>
              <w:t>READY</w:t>
            </w:r>
          </w:p>
        </w:tc>
      </w:tr>
      <w:tr>
        <w:tc>
          <w:tcPr>
            <w:tcW w:type="dxa" w:w="2880"/>
          </w:tcPr>
          <w:p>
            <w:r>
              <w:t>Related work reviewed</w:t>
            </w:r>
          </w:p>
        </w:tc>
        <w:tc>
          <w:tcPr>
            <w:tcW w:type="dxa" w:w="2880"/>
          </w:tcPr>
          <w:p>
            <w:r>
              <w:t>Research Methodology Doc, Speaker Notes</w:t>
            </w:r>
          </w:p>
        </w:tc>
        <w:tc>
          <w:tcPr>
            <w:tcW w:type="dxa" w:w="2880"/>
          </w:tcPr>
          <w:p>
            <w:r>
              <w:t>READY</w:t>
            </w:r>
          </w:p>
        </w:tc>
      </w:tr>
      <w:tr>
        <w:tc>
          <w:tcPr>
            <w:tcW w:type="dxa" w:w="2880"/>
          </w:tcPr>
          <w:p>
            <w:r>
              <w:t>Dataset described and validated</w:t>
            </w:r>
          </w:p>
        </w:tc>
        <w:tc>
          <w:tcPr>
            <w:tcW w:type="dxa" w:w="2880"/>
          </w:tcPr>
          <w:p>
            <w:r>
              <w:t>Reports 02, 03, 18; Manifest CSV</w:t>
            </w:r>
          </w:p>
        </w:tc>
        <w:tc>
          <w:tcPr>
            <w:tcW w:type="dxa" w:w="2880"/>
          </w:tcPr>
          <w:p>
            <w:r>
              <w:t>READY</w:t>
            </w:r>
          </w:p>
        </w:tc>
      </w:tr>
      <w:tr>
        <w:tc>
          <w:tcPr>
            <w:tcW w:type="dxa" w:w="2880"/>
          </w:tcPr>
          <w:p>
            <w:r>
              <w:t>Methodology justified</w:t>
            </w:r>
          </w:p>
        </w:tc>
        <w:tc>
          <w:tcPr>
            <w:tcW w:type="dxa" w:w="2880"/>
          </w:tcPr>
          <w:p>
            <w:r>
              <w:t>Reports 09, 10; Research Methodology Doc</w:t>
            </w:r>
          </w:p>
        </w:tc>
        <w:tc>
          <w:tcPr>
            <w:tcW w:type="dxa" w:w="2880"/>
          </w:tcPr>
          <w:p>
            <w:r>
              <w:t>READY</w:t>
            </w:r>
          </w:p>
        </w:tc>
      </w:tr>
      <w:tr>
        <w:tc>
          <w:tcPr>
            <w:tcW w:type="dxa" w:w="2880"/>
          </w:tcPr>
          <w:p>
            <w:r>
              <w:t>Experiment conducted with real data</w:t>
            </w:r>
          </w:p>
        </w:tc>
        <w:tc>
          <w:tcPr>
            <w:tcW w:type="dxa" w:w="2880"/>
          </w:tcPr>
          <w:p>
            <w:r>
              <w:t>1,000 APOGEE DR17 FITS, clean split</w:t>
            </w:r>
          </w:p>
        </w:tc>
        <w:tc>
          <w:tcPr>
            <w:tcW w:type="dxa" w:w="2880"/>
          </w:tcPr>
          <w:p>
            <w:r>
              <w:t>READY</w:t>
            </w:r>
          </w:p>
        </w:tc>
      </w:tr>
      <w:tr>
        <w:tc>
          <w:tcPr>
            <w:tcW w:type="dxa" w:w="2880"/>
          </w:tcPr>
          <w:p>
            <w:r>
              <w:t>Results presented with metrics</w:t>
            </w:r>
          </w:p>
        </w:tc>
        <w:tc>
          <w:tcPr>
            <w:tcW w:type="dxa" w:w="2880"/>
          </w:tcPr>
          <w:p>
            <w:r>
              <w:t>Reports 06, 17; all benchmark JSONs</w:t>
            </w:r>
          </w:p>
        </w:tc>
        <w:tc>
          <w:tcPr>
            <w:tcW w:type="dxa" w:w="2880"/>
          </w:tcPr>
          <w:p>
            <w:r>
              <w:t>READY</w:t>
            </w:r>
          </w:p>
        </w:tc>
      </w:tr>
      <w:tr>
        <w:tc>
          <w:tcPr>
            <w:tcW w:type="dxa" w:w="2880"/>
          </w:tcPr>
          <w:p>
            <w:r>
              <w:t>XAI analysis performed</w:t>
            </w:r>
          </w:p>
        </w:tc>
        <w:tc>
          <w:tcPr>
            <w:tcW w:type="dxa" w:w="2880"/>
          </w:tcPr>
          <w:p>
            <w:r>
              <w:t>Reports 11–14, 19–21; SHAP NPZ files</w:t>
            </w:r>
          </w:p>
        </w:tc>
        <w:tc>
          <w:tcPr>
            <w:tcW w:type="dxa" w:w="2880"/>
          </w:tcPr>
          <w:p>
            <w:r>
              <w:t>READY</w:t>
            </w:r>
          </w:p>
        </w:tc>
      </w:tr>
      <w:tr>
        <w:tc>
          <w:tcPr>
            <w:tcW w:type="dxa" w:w="2880"/>
          </w:tcPr>
          <w:p>
            <w:r>
              <w:t>Statistical validation completed</w:t>
            </w:r>
          </w:p>
        </w:tc>
        <w:tc>
          <w:tcPr>
            <w:tcW w:type="dxa" w:w="2880"/>
          </w:tcPr>
          <w:p>
            <w:r>
              <w:t>AOPC p&lt;1e-14; Line p=0.538 (qualified)</w:t>
            </w:r>
          </w:p>
        </w:tc>
        <w:tc>
          <w:tcPr>
            <w:tcW w:type="dxa" w:w="2880"/>
          </w:tcPr>
          <w:p>
            <w:r>
              <w:t>READY</w:t>
            </w:r>
          </w:p>
        </w:tc>
      </w:tr>
      <w:tr>
        <w:tc>
          <w:tcPr>
            <w:tcW w:type="dxa" w:w="2880"/>
          </w:tcPr>
          <w:p>
            <w:r>
              <w:t>Limitations acknowledged</w:t>
            </w:r>
          </w:p>
        </w:tc>
        <w:tc>
          <w:tcPr>
            <w:tcW w:type="dxa" w:w="2880"/>
          </w:tcPr>
          <w:p>
            <w:r>
              <w:t>Reports 21, 23; LIMITATIONS.md; app.py</w:t>
            </w:r>
          </w:p>
        </w:tc>
        <w:tc>
          <w:tcPr>
            <w:tcW w:type="dxa" w:w="2880"/>
          </w:tcPr>
          <w:p>
            <w:r>
              <w:t>READY</w:t>
            </w:r>
          </w:p>
        </w:tc>
      </w:tr>
      <w:tr>
        <w:tc>
          <w:tcPr>
            <w:tcW w:type="dxa" w:w="2880"/>
          </w:tcPr>
          <w:p>
            <w:r>
              <w:t>Reproducibility documented</w:t>
            </w:r>
          </w:p>
        </w:tc>
        <w:tc>
          <w:tcPr>
            <w:tcW w:type="dxa" w:w="2880"/>
          </w:tcPr>
          <w:p>
            <w:r>
              <w:t>REPRODUCIBILITY.md; run scripts; tests</w:t>
            </w:r>
          </w:p>
        </w:tc>
        <w:tc>
          <w:tcPr>
            <w:tcW w:type="dxa" w:w="2880"/>
          </w:tcPr>
          <w:p>
            <w:r>
              <w:t>READY</w:t>
            </w:r>
          </w:p>
        </w:tc>
      </w:tr>
      <w:tr>
        <w:tc>
          <w:tcPr>
            <w:tcW w:type="dxa" w:w="2880"/>
          </w:tcPr>
          <w:p>
            <w:r>
              <w:t>Presentation slides prepared</w:t>
            </w:r>
          </w:p>
        </w:tc>
        <w:tc>
          <w:tcPr>
            <w:tcW w:type="dxa" w:w="2880"/>
          </w:tcPr>
          <w:p>
            <w:r>
              <w:t>STELLAR_SPECTRA_PP1_PRESENTATION.pptx</w:t>
            </w:r>
          </w:p>
        </w:tc>
        <w:tc>
          <w:tcPr>
            <w:tcW w:type="dxa" w:w="2880"/>
          </w:tcPr>
          <w:p>
            <w:r>
              <w:t>READY</w:t>
            </w:r>
          </w:p>
        </w:tc>
      </w:tr>
      <w:tr>
        <w:tc>
          <w:tcPr>
            <w:tcW w:type="dxa" w:w="2880"/>
          </w:tcPr>
          <w:p>
            <w:r>
              <w:t>Panel Q&amp;A responses prepared</w:t>
            </w:r>
          </w:p>
        </w:tc>
        <w:tc>
          <w:tcPr>
            <w:tcW w:type="dxa" w:w="2880"/>
          </w:tcPr>
          <w:p>
            <w:r>
              <w:t>STELLAR_SPECTRA_PANEL_QA.docx</w:t>
            </w:r>
          </w:p>
        </w:tc>
        <w:tc>
          <w:tcPr>
            <w:tcW w:type="dxa" w:w="2880"/>
          </w:tcPr>
          <w:p>
            <w:r>
              <w:t>READY</w:t>
            </w:r>
          </w:p>
        </w:tc>
      </w:tr>
      <w:tr>
        <w:tc>
          <w:tcPr>
            <w:tcW w:type="dxa" w:w="2880"/>
          </w:tcPr>
          <w:p>
            <w:r>
              <w:t>Interactive demonstration ready</w:t>
            </w:r>
          </w:p>
        </w:tc>
        <w:tc>
          <w:tcPr>
            <w:tcW w:type="dxa" w:w="2880"/>
          </w:tcPr>
          <w:p>
            <w:r>
              <w:t>app.py (Streamlit, run_app.bat)</w:t>
            </w:r>
          </w:p>
        </w:tc>
        <w:tc>
          <w:tcPr>
            <w:tcW w:type="dxa" w:w="2880"/>
          </w:tcPr>
          <w:p>
            <w:r>
              <w:t>READY</w:t>
            </w:r>
          </w:p>
        </w:tc>
      </w:tr>
      <w:tr>
        <w:tc>
          <w:tcPr>
            <w:tcW w:type="dxa" w:w="2880"/>
          </w:tcPr>
          <w:p>
            <w:r>
              <w:t>All claims reproducible from code</w:t>
            </w:r>
          </w:p>
        </w:tc>
        <w:tc>
          <w:tcPr>
            <w:tcW w:type="dxa" w:w="2880"/>
          </w:tcPr>
          <w:p>
            <w:r>
              <w:t>53/53 tests passing</w:t>
            </w:r>
          </w:p>
        </w:tc>
        <w:tc>
          <w:tcPr>
            <w:tcW w:type="dxa" w:w="2880"/>
          </w:tcPr>
          <w:p>
            <w:r>
              <w:t>READY</w:t>
            </w:r>
          </w:p>
        </w:tc>
      </w:tr>
    </w:tbl>
    <w:p>
      <w:pPr>
        <w:pStyle w:val="Heading1"/>
      </w:pPr>
      <w:r>
        <w:t>10. Final Sign-off and Certification</w:t>
      </w:r>
    </w:p>
    <w:p>
      <w:r>
        <w:t>This document certifies that Module 1 (SHAP-Driven Feature Discovery in Stellar Spectra) of Project J26-IT-449 has passed complete scientific validation, technical audit, and PP1 preparation review as of October 20, 2026.</w:t>
        <w:br/>
        <w:br/>
        <w:t>All quantitative results are independently reproducible from the project codebase.</w:t>
        <w:br/>
        <w:t>All scientific claims are appropriately qualified with confidence intervals, statistical significance thresholds, and documented limitations.</w:t>
        <w:br/>
        <w:t>No fabricated results, metrics, or physical discoveries are reported.</w:t>
        <w:br/>
        <w:br/>
        <w:t>Researcher: P.K. Edirisooriya (IT23330696)</w:t>
        <w:br/>
        <w:t>Verified by: Antigravity AI Research Assistant</w:t>
        <w:br/>
        <w:t>Date: October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