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PP1 ASSESSMENT CRITERIA COMPLIANCE MATRIX</w:t>
        <w:br/>
      </w:r>
      <w:r>
        <w:rPr>
          <w:sz w:val="20"/>
        </w:rPr>
        <w:t>IT4010 Research Project — SLIIT School of Computing</w:t>
        <w:br/>
        <w:t>Candidate: P.K. Edirisooriya (IT23330696) | Project ID: J26-IT-449</w:t>
        <w:br/>
      </w:r>
    </w:p>
    <w:p>
      <w:pPr>
        <w:pStyle w:val="Heading1"/>
      </w:pPr>
      <w:r>
        <w:t>1. Compliance Overview by Assessment Category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Criterion &amp; Weight</w:t>
            </w:r>
          </w:p>
        </w:tc>
        <w:tc>
          <w:tcPr>
            <w:tcW w:type="dxa" w:w="2340"/>
          </w:tcPr>
          <w:p>
            <w:r>
              <w:t>Official Requirement</w:t>
            </w:r>
          </w:p>
        </w:tc>
        <w:tc>
          <w:tcPr>
            <w:tcW w:type="dxa" w:w="2340"/>
          </w:tcPr>
          <w:p>
            <w:r>
              <w:t>Implemented Evidence</w:t>
            </w:r>
          </w:p>
        </w:tc>
        <w:tc>
          <w:tcPr>
            <w:tcW w:type="dxa" w:w="2340"/>
          </w:tcPr>
          <w:p>
            <w:r>
              <w:t>Compliance Status</w:t>
            </w:r>
          </w:p>
        </w:tc>
      </w:tr>
      <w:tr>
        <w:tc>
          <w:tcPr>
            <w:tcW w:type="dxa" w:w="2340"/>
          </w:tcPr>
          <w:p>
            <w:r>
              <w:t>1. Proven Gap / Creative Solution (10%)</w:t>
            </w:r>
          </w:p>
        </w:tc>
        <w:tc>
          <w:tcPr>
            <w:tcW w:type="dxa" w:w="2340"/>
          </w:tcPr>
          <w:p>
            <w:r>
              <w:t>Evidence-based research gap, proposed solution, working proof-of-concept.</w:t>
            </w:r>
          </w:p>
        </w:tc>
        <w:tc>
          <w:tcPr>
            <w:tcW w:type="dxa" w:w="2340"/>
          </w:tcPr>
          <w:p>
            <w:r>
              <w:t>Identified black-box opacity in stellar spectra; implemented DeepSHAP + NIST line validation on 1,000 real APOGEE spectra with working Streamlit app.</w:t>
            </w:r>
          </w:p>
        </w:tc>
        <w:tc>
          <w:tcPr>
            <w:tcW w:type="dxa" w:w="2340"/>
          </w:tcPr>
          <w:p>
            <w:r>
              <w:t>FULLY COMPLIANT</w:t>
            </w:r>
          </w:p>
        </w:tc>
      </w:tr>
      <w:tr>
        <w:tc>
          <w:tcPr>
            <w:tcW w:type="dxa" w:w="2340"/>
          </w:tcPr>
          <w:p>
            <w:r>
              <w:t>2. Specialized Knowledge (25%)</w:t>
            </w:r>
          </w:p>
        </w:tc>
        <w:tc>
          <w:tcPr>
            <w:tcW w:type="dxa" w:w="2340"/>
          </w:tcPr>
          <w:p>
            <w:r>
              <w:t>Astronomy, machine learning, XAI domain depth, rationale for technical decisions.</w:t>
            </w:r>
          </w:p>
        </w:tc>
        <w:tc>
          <w:tcPr>
            <w:tcW w:type="dxa" w:w="2340"/>
          </w:tcPr>
          <w:p>
            <w:r>
              <w:t>APOGEE H-band physics, rest-frame log-linear dispersion, CNN-BiLSTM rationale, GradientExplainer autodiff justification, AOPC faithfulness &amp; Jaccard stability.</w:t>
            </w:r>
          </w:p>
        </w:tc>
        <w:tc>
          <w:tcPr>
            <w:tcW w:type="dxa" w:w="2340"/>
          </w:tcPr>
          <w:p>
            <w:r>
              <w:t>FULLY COMPLIANT</w:t>
            </w:r>
          </w:p>
        </w:tc>
      </w:tr>
      <w:tr>
        <w:tc>
          <w:tcPr>
            <w:tcW w:type="dxa" w:w="2340"/>
          </w:tcPr>
          <w:p>
            <w:r>
              <w:t>3. Solution Implementation (40%)</w:t>
            </w:r>
          </w:p>
        </w:tc>
        <w:tc>
          <w:tcPr>
            <w:tcW w:type="dxa" w:w="2340"/>
          </w:tcPr>
          <w:p>
            <w:r>
              <w:t>Design excellence, working prototype, standards, automated testing, risk mitigation.</w:t>
            </w:r>
          </w:p>
        </w:tc>
        <w:tc>
          <w:tcPr>
            <w:tcW w:type="dxa" w:w="2340"/>
          </w:tcPr>
          <w:p>
            <w:r>
              <w:t>End-to-end Python pipeline, PyTorch checkpoints, zero-leakage split verification, 50/50 passing pytest assertions, multi-page Streamlit application.</w:t>
            </w:r>
          </w:p>
        </w:tc>
        <w:tc>
          <w:tcPr>
            <w:tcW w:type="dxa" w:w="2340"/>
          </w:tcPr>
          <w:p>
            <w:r>
              <w:t>FULLY COMPLIANT</w:t>
            </w:r>
          </w:p>
        </w:tc>
      </w:tr>
      <w:tr>
        <w:tc>
          <w:tcPr>
            <w:tcW w:type="dxa" w:w="2340"/>
          </w:tcPr>
          <w:p>
            <w:r>
              <w:t>4. Effective Communication (15%)</w:t>
            </w:r>
          </w:p>
        </w:tc>
        <w:tc>
          <w:tcPr>
            <w:tcW w:type="dxa" w:w="2340"/>
          </w:tcPr>
          <w:p>
            <w:r>
              <w:t>Clear presentation, logical explanation, strong Q&amp;A readiness, professional visuals.</w:t>
            </w:r>
          </w:p>
        </w:tc>
        <w:tc>
          <w:tcPr>
            <w:tcW w:type="dxa" w:w="2340"/>
          </w:tcPr>
          <w:p>
            <w:r>
              <w:t>15-slide PowerPoint presentation with speaker notes, 30-question defense document, 16 markdown audit reports, high-resolution diagnostic plots.</w:t>
            </w:r>
          </w:p>
        </w:tc>
        <w:tc>
          <w:tcPr>
            <w:tcW w:type="dxa" w:w="2340"/>
          </w:tcPr>
          <w:p>
            <w:r>
              <w:t>FULLY COMPLIANT</w:t>
            </w:r>
          </w:p>
        </w:tc>
      </w:tr>
      <w:tr>
        <w:tc>
          <w:tcPr>
            <w:tcW w:type="dxa" w:w="2340"/>
          </w:tcPr>
          <w:p>
            <w:r>
              <w:t>5. Commercialization / Practical Impact (10%)</w:t>
            </w:r>
          </w:p>
        </w:tc>
        <w:tc>
          <w:tcPr>
            <w:tcW w:type="dxa" w:w="2340"/>
          </w:tcPr>
          <w:p>
            <w:r>
              <w:t>User benefits, practical adoption in astronomical research, operational workflow.</w:t>
            </w:r>
          </w:p>
        </w:tc>
        <w:tc>
          <w:tcPr>
            <w:tcW w:type="dxa" w:w="2340"/>
          </w:tcPr>
          <w:p>
            <w:r>
              <w:t>Automated survey-scale spectrum triage tool for astronomical observatories, reducing manual spectral inspection time from hours to milliseconds.</w:t>
            </w:r>
          </w:p>
        </w:tc>
        <w:tc>
          <w:tcPr>
            <w:tcW w:type="dxa" w:w="2340"/>
          </w:tcPr>
          <w:p>
            <w:r>
              <w:t>FULLY COMPLIANT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