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PP1 ASSESSMENT PREPARATION GUIDE</w:t>
        <w:br/>
      </w:r>
      <w:r>
        <w:rPr>
          <w:sz w:val="20"/>
        </w:rPr>
        <w:t>Candidate: P.K. Edirisooriya (IT23330696) | Project ID: J26-IT-449</w:t>
        <w:br/>
        <w:t>IT4010 Research Project — Progress Presentation 1</w:t>
        <w:br/>
      </w:r>
    </w:p>
    <w:p>
      <w:pPr>
        <w:pStyle w:val="Heading1"/>
      </w:pPr>
      <w:r>
        <w:t>1. Executive Briefing for Examiners</w:t>
      </w:r>
    </w:p>
    <w:p>
      <w:r>
        <w:t>Individual Component Title: SHAP-Driven Feature Discovery in Stellar Spectra</w:t>
        <w:br/>
        <w:t>Main Team Project: Explainable AI for Astronomical Discovery using XAI and Uncertainty Quantification</w:t>
        <w:br/>
        <w:t>Core Problem Solved: Deep learning models are capable of classifying stellar spectra, but they operate as opaque black boxes. This project provides rigorous, quantifiable physical validation for neural network predictions using Explainable AI (DeepSHAP), demonstrating whether the model identifies real astrophysical absorption lines or relies on survey artifacts.</w:t>
      </w:r>
    </w:p>
    <w:p>
      <w:pPr>
        <w:pStyle w:val="Heading1"/>
      </w:pPr>
      <w:r>
        <w:t>2. Key Talking Points &amp; Scientific Contributions</w:t>
      </w:r>
    </w:p>
    <w:p>
      <w:r>
        <w:t>1. Real Astronomical Pipeline: 1,000 genuine SDSS APOGEE DR17 high-resolution spectra preprocessed into uniform 4,000-point arrays.</w:t>
        <w:br/>
        <w:t>2. Architectural Superiority: 1D-CNN-BiLSTM achieves 74.15% balanced accuracy, outperforming classical machine learning (52.4%) and standard CNNs (29.2%).</w:t>
        <w:br/>
        <w:t>3. Research Integrity in Action: An audit detected and rectified a 102-sample historical split overlap bug, establishing a clean zero-leakage benchmark.</w:t>
        <w:br/>
        <w:t>4. Quantitative Physics Alignment: Formulated the Spectral Line Alignment Score (10.53%) and established non-spuriousness using a 1,000-trial Monte Carlo random baseline (p = 0.5380).</w:t>
        <w:br/>
        <w:t>5. Proven Explanation Quality: Evaluated XAI Faithfulness (6.30x advantage over random masking via AOPC) and Stability (&gt;77.6% Jaccard overlap under observational noise).</w:t>
      </w:r>
    </w:p>
    <w:p>
      <w:pPr>
        <w:pStyle w:val="Heading1"/>
      </w:pPr>
      <w:r>
        <w:t>3. Examiner Defense Strategy &amp; Honest Disclosures</w:t>
      </w:r>
    </w:p>
    <w:p>
      <w:r>
        <w:t>- Question: 'Are your labels true Harvard spectral classifications?'</w:t>
        <w:br/>
        <w:t xml:space="preserve">  Answer: 'No, they are effective-temperature proxy classes derived from ASPCAP TEFF measurements in the FITS headers. We maintain complete scientific transparency on this limitation.'</w:t>
        <w:br/>
        <w:br/>
        <w:t>- Question: 'Why did the accuracy change from 91.33% to 77.33%?'</w:t>
        <w:br/>
        <w:t xml:space="preserve">  Answer: 'During our rigorous project audit, we detected a nested indexing bug in the historical split that caused a 102-sample overlap between train and test. We rectified this by implementing an independent group-aware split. Reporting both demonstrates research rigor.'</w:t>
        <w:br/>
        <w:br/>
        <w:t>- Question: 'Did your model discover new spectral lines?'</w:t>
        <w:br/>
        <w:t xml:space="preserve">  Answer: 'No. Our 1,000-trial Monte Carlo test (p=0.538) proved that the model utilizes diffuse continuum slopes and broad molecular bands alongside atomic transitions. Overclaiming discovery would be scientifically dishonest.'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