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RESEARCH PROGRESS REPORT (PP1 MILESTONE)</w:t>
        <w:br/>
      </w:r>
      <w:r>
        <w:rPr>
          <w:sz w:val="20"/>
        </w:rPr>
        <w:t>IT4010 Research Project | SLIIT School of Computing</w:t>
        <w:br/>
        <w:t>Candidate: P.K. Edirisooriya (IT23330696) | Project ID: J26-IT-449</w:t>
        <w:br/>
      </w:r>
    </w:p>
    <w:p>
      <w:pPr>
        <w:pStyle w:val="Heading1"/>
      </w:pPr>
      <w:r>
        <w:t>1. Milestone Completion Status</w:t>
      </w:r>
    </w:p>
    <w:p>
      <w:r>
        <w:t>Based on the approved IT4010 research proposal milestones, the module completion rate stands at 100% of planned PP1 deliverables: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Proposed Milestone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Evidence Artifact</w:t>
            </w:r>
          </w:p>
        </w:tc>
      </w:tr>
      <w:tr>
        <w:tc>
          <w:tcPr>
            <w:tcW w:type="dxa" w:w="3120"/>
          </w:tcPr>
          <w:p>
            <w:r>
              <w:t>Dataset Acquisition (&gt;= 1,000 FITS)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1,033 APOGEE DR17 FITS files in raw_spectra/</w:t>
            </w:r>
          </w:p>
        </w:tc>
      </w:tr>
      <w:tr>
        <w:tc>
          <w:tcPr>
            <w:tcW w:type="dxa" w:w="3120"/>
          </w:tcPr>
          <w:p>
            <w:r>
              <w:t>Spectral Preprocessing Pipeline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4,000-channel log-linear normalized tensors</w:t>
            </w:r>
          </w:p>
        </w:tc>
      </w:tr>
      <w:tr>
        <w:tc>
          <w:tcPr>
            <w:tcW w:type="dxa" w:w="3120"/>
          </w:tcPr>
          <w:p>
            <w:r>
              <w:t>Deep Learning Model Benchmark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CNN-BiLSTM, ResNet, CNN checkpoints in models/</w:t>
            </w:r>
          </w:p>
        </w:tc>
      </w:tr>
      <w:tr>
        <w:tc>
          <w:tcPr>
            <w:tcW w:type="dxa" w:w="3120"/>
          </w:tcPr>
          <w:p>
            <w:r>
              <w:t>Evaluation Audit &amp; Leakage Elimination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Zero-leakage split (700/150/150) in processed/corrected_clean/</w:t>
            </w:r>
          </w:p>
        </w:tc>
      </w:tr>
      <w:tr>
        <w:tc>
          <w:tcPr>
            <w:tcW w:type="dxa" w:w="3120"/>
          </w:tcPr>
          <w:p>
            <w:r>
              <w:t>DeepSHAP Explainability Engine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GradientExplainer attribution tensors in results/</w:t>
            </w:r>
          </w:p>
        </w:tc>
      </w:tr>
      <w:tr>
        <w:tc>
          <w:tcPr>
            <w:tcW w:type="dxa" w:w="3120"/>
          </w:tcPr>
          <w:p>
            <w:r>
              <w:t>Atomic Line Matching &amp; Baseline Comparison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Alignment score &amp; 1,000-trial Monte Carlo in results/</w:t>
            </w:r>
          </w:p>
        </w:tc>
      </w:tr>
      <w:tr>
        <w:tc>
          <w:tcPr>
            <w:tcW w:type="dxa" w:w="3120"/>
          </w:tcPr>
          <w:p>
            <w:r>
              <w:t>XAI Faithfulness (AOPC) &amp; Stability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AOPC curve &amp; Jaccard noise analysis in results/</w:t>
            </w:r>
          </w:p>
        </w:tc>
      </w:tr>
      <w:tr>
        <w:tc>
          <w:tcPr>
            <w:tcW w:type="dxa" w:w="3120"/>
          </w:tcPr>
          <w:p>
            <w:r>
              <w:t>Interactive Streamlit Application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6-page UI with XAI Validation page in app.py</w:t>
            </w:r>
          </w:p>
        </w:tc>
      </w:tr>
      <w:tr>
        <w:tc>
          <w:tcPr>
            <w:tcW w:type="dxa" w:w="3120"/>
          </w:tcPr>
          <w:p>
            <w:r>
              <w:t>Automated Test Suite</w:t>
            </w:r>
          </w:p>
        </w:tc>
        <w:tc>
          <w:tcPr>
            <w:tcW w:type="dxa" w:w="3120"/>
          </w:tcPr>
          <w:p>
            <w:r>
              <w:t>100% Complete</w:t>
            </w:r>
          </w:p>
        </w:tc>
        <w:tc>
          <w:tcPr>
            <w:tcW w:type="dxa" w:w="3120"/>
          </w:tcPr>
          <w:p>
            <w:r>
              <w:t>50/50 passing pytest assertions in tests/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