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4"/>
        </w:rPr>
        <w:t>RESEARCH METHODOLOGY SPECIFICATION</w:t>
        <w:br/>
      </w:r>
      <w:r>
        <w:rPr>
          <w:rFonts w:ascii="Calibri" w:hAnsi="Calibri"/>
          <w:i/>
          <w:sz w:val="28"/>
        </w:rPr>
        <w:t>Module 1: SHAP-Driven Feature Discovery in Stellar Spectra</w:t>
        <w:br/>
      </w:r>
    </w:p>
    <w:p>
      <w:pPr>
        <w:jc w:val="center"/>
      </w:pPr>
      <w:r>
        <w:rPr>
          <w:sz w:val="20"/>
        </w:rPr>
        <w:t>Project ID: J26-IT-449 | Researcher: P.K. Edirisooriya (IT23330696)</w:t>
        <w:br/>
        <w:t>Course: IT4010 Research Project | Assessment: Progress Presentation 1 (PP1)</w:t>
        <w:br/>
        <w:t>SLIIT School of Computing</w:t>
        <w:br/>
      </w:r>
    </w:p>
    <w:p>
      <w:pPr>
        <w:pStyle w:val="Heading1"/>
      </w:pPr>
      <w:r>
        <w:t>1. Introduction &amp; Research Problem</w:t>
      </w:r>
    </w:p>
    <w:p>
      <w:r>
        <w:t>Modern wide-field spectroscopic sky surveys, such as SDSS-IV APOGEE, acquire hundreds of thousands of high-resolution stellar spectra across the near-infrared passband. While modern deep convolutional neural networks excel at classifying spectral features and inferring atmospheric parameters, they operate as opaque 'black boxes'. In astrophysics, an accurate prediction is scientifically insufficient if the underlying physical justification remains unexplained. Astrophysicists must understand whether neural networks learn genuine physical atomic and molecular transitions (e.g., hydrogen Brackett series, iron, silicon, magnesium lines) or exploit unphysical continuum slopes, sky subtraction residuals, and instrument artifacts.</w:t>
      </w:r>
    </w:p>
    <w:p>
      <w:pPr>
        <w:pStyle w:val="Heading1"/>
      </w:pPr>
      <w:r>
        <w:t>2. Research Gap &amp; Proposed Novelty</w:t>
      </w:r>
    </w:p>
    <w:p>
      <w:r>
        <w:t>Existing astronomical literature predominantly focuses on raw classification accuracy or applies post-hoc saliency maps without quantitative physical validation. The research gap addressed by this study is twofold:</w:t>
        <w:br/>
        <w:t>1. The lack of rigorous, baseline-controlled quantitative alignment between Explainable AI (XAI) attributions and NIST laboratory atomic transitions.</w:t>
        <w:br/>
        <w:t>2. The absence of systematic evaluation of XAI faithfulness (AOPC) and stability under realistic observational survey noise.</w:t>
      </w:r>
    </w:p>
    <w:p>
      <w:pPr>
        <w:pStyle w:val="Heading1"/>
      </w:pPr>
      <w:r>
        <w:t>3. Observational Dataset &amp; Preprocessing</w:t>
      </w:r>
    </w:p>
    <w:p>
      <w:r>
        <w:t>The primary dataset comprises 1,000 genuine near-infrared spectra from the SDSS-IV APOGEE DR17 survey (H-band: 15,100 to 17,000 Å, R ~ 22,500). Raw FITS spectra from the APO 2.5m and LCO 2.5m telescopes are resampled onto a standardized 4,000-point logarithmic wavelength grid (dispersion ~0.475 Å/pixel) and continuum-normalized using a 101-pixel median filter. Classes (K, G, F, A, B) represent effective-temperature proxy categories derived from ASPCAP TEFF header measurements.</w:t>
      </w:r>
    </w:p>
    <w:p>
      <w:pPr>
        <w:pStyle w:val="Heading1"/>
      </w:pPr>
      <w:r>
        <w:t>4. Deep Learning Model Architectures</w:t>
      </w:r>
    </w:p>
    <w:p>
      <w:r>
        <w:t>Three distinct deep learning paradigms are evaluated:</w:t>
        <w:br/>
        <w:t>1. 1D-CNN-BiLSTM (Hybrid): Combines spatial 1D convolutional feature extraction (kernels 11, 7) with a 2-layer Bidirectional LSTM to capture long-range pseudo-continuum and multi-element ionization balances.</w:t>
        <w:br/>
        <w:t>2. 1D-ResNet: Deep residual architecture utilizing skip connections across 3 residual blocks.</w:t>
        <w:br/>
        <w:t>3. Standard 1D-CNN: Baseline convolutional neural network with max pooling and dropout.</w:t>
      </w:r>
    </w:p>
    <w:p>
      <w:pPr>
        <w:pStyle w:val="Heading1"/>
      </w:pPr>
      <w:r>
        <w:t>5. Explainable AI &amp; Scientific Validation Framework</w:t>
      </w:r>
    </w:p>
    <w:p>
      <w:r>
        <w:t>1. DeepSHAP Attribution: Implemented via shap.GradientExplainer over the trained CNN-BiLSTM, producing attribution tensors of shape (N, 4000, 5).</w:t>
        <w:br/>
        <w:t>2. Peak Detection &amp; NIST Matching: Attribution peaks are detected using an 85th percentile prominence threshold and matched against 31 known near-infrared transitions within a +/-3.5 Å astrophysical window.</w:t>
        <w:br/>
        <w:t>3. Monte Carlo Random Baseline: Compares observed spectral line alignment against 1,000 randomized synthetic attribution trials to establish empirical p-values.</w:t>
        <w:br/>
        <w:t>4. Faithfulness (AOPC): Measures target confidence degradation when sequentially masking top-ranked SHAP channels vs random channels.</w:t>
        <w:br/>
        <w:t>5. Stability (Jaccard): Evaluates explanation region consistency under simulated observational noise (SNR = 100, 50, 25).</w:t>
      </w:r>
    </w:p>
    <w:p>
      <w:pPr>
        <w:pStyle w:val="Heading1"/>
      </w:pPr>
      <w:r>
        <w:t>6. Key Empirical Results Summary</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Model / Evaluation Metric</w:t>
            </w:r>
          </w:p>
        </w:tc>
        <w:tc>
          <w:tcPr>
            <w:tcW w:type="dxa" w:w="2340"/>
          </w:tcPr>
          <w:p>
            <w:r>
              <w:t>Zero-Leakage Clean Split</w:t>
            </w:r>
          </w:p>
        </w:tc>
        <w:tc>
          <w:tcPr>
            <w:tcW w:type="dxa" w:w="2340"/>
          </w:tcPr>
          <w:p>
            <w:r>
              <w:t>Statistical Baseline</w:t>
            </w:r>
          </w:p>
        </w:tc>
        <w:tc>
          <w:tcPr>
            <w:tcW w:type="dxa" w:w="2340"/>
          </w:tcPr>
          <w:p>
            <w:r>
              <w:t>Scientific Significance</w:t>
            </w:r>
          </w:p>
        </w:tc>
      </w:tr>
      <w:tr>
        <w:tc>
          <w:tcPr>
            <w:tcW w:type="dxa" w:w="2340"/>
          </w:tcPr>
          <w:p>
            <w:r>
              <w:t>1D-CNN-BiLSTM Test Accuracy</w:t>
            </w:r>
          </w:p>
        </w:tc>
        <w:tc>
          <w:tcPr>
            <w:tcW w:type="dxa" w:w="2340"/>
          </w:tcPr>
          <w:p>
            <w:r>
              <w:t>77.33% (116/150)</w:t>
            </w:r>
          </w:p>
        </w:tc>
        <w:tc>
          <w:tcPr>
            <w:tcW w:type="dxa" w:w="2340"/>
          </w:tcPr>
          <w:p>
            <w:r>
              <w:t>64.67% (Majority Class)</w:t>
            </w:r>
          </w:p>
        </w:tc>
        <w:tc>
          <w:tcPr>
            <w:tcW w:type="dxa" w:w="2340"/>
          </w:tcPr>
          <w:p>
            <w:r>
              <w:t>Exceeds zero-rule baseline</w:t>
            </w:r>
          </w:p>
        </w:tc>
      </w:tr>
      <w:tr>
        <w:tc>
          <w:tcPr>
            <w:tcW w:type="dxa" w:w="2340"/>
          </w:tcPr>
          <w:p>
            <w:r>
              <w:t>1D-CNN-BiLSTM Balanced Accuracy</w:t>
            </w:r>
          </w:p>
        </w:tc>
        <w:tc>
          <w:tcPr>
            <w:tcW w:type="dxa" w:w="2340"/>
          </w:tcPr>
          <w:p>
            <w:r>
              <w:t>74.15%</w:t>
            </w:r>
          </w:p>
        </w:tc>
        <w:tc>
          <w:tcPr>
            <w:tcW w:type="dxa" w:w="2340"/>
          </w:tcPr>
          <w:p>
            <w:r>
              <w:t>20.00% (Majority Class)</w:t>
            </w:r>
          </w:p>
        </w:tc>
        <w:tc>
          <w:tcPr>
            <w:tcW w:type="dxa" w:w="2340"/>
          </w:tcPr>
          <w:p>
            <w:r>
              <w:t>Highest balance across classes</w:t>
            </w:r>
          </w:p>
        </w:tc>
      </w:tr>
      <w:tr>
        <w:tc>
          <w:tcPr>
            <w:tcW w:type="dxa" w:w="2340"/>
          </w:tcPr>
          <w:p>
            <w:r>
              <w:t>Spectral Line Alignment Score</w:t>
            </w:r>
          </w:p>
        </w:tc>
        <w:tc>
          <w:tcPr>
            <w:tcW w:type="dxa" w:w="2340"/>
          </w:tcPr>
          <w:p>
            <w:r>
              <w:t>10.53% (6/57 peaks)</w:t>
            </w:r>
          </w:p>
        </w:tc>
        <w:tc>
          <w:tcPr>
            <w:tcW w:type="dxa" w:w="2340"/>
          </w:tcPr>
          <w:p>
            <w:r>
              <w:t>10.19% +/- 3.94%</w:t>
            </w:r>
          </w:p>
        </w:tc>
        <w:tc>
          <w:tcPr>
            <w:tcW w:type="dxa" w:w="2340"/>
          </w:tcPr>
          <w:p>
            <w:r>
              <w:t>p = 0.5380 (diffuse learning)</w:t>
            </w:r>
          </w:p>
        </w:tc>
      </w:tr>
      <w:tr>
        <w:tc>
          <w:tcPr>
            <w:tcW w:type="dxa" w:w="2340"/>
          </w:tcPr>
          <w:p>
            <w:r>
              <w:t>XAI Faithfulness Ratio (AOPC)</w:t>
            </w:r>
          </w:p>
        </w:tc>
        <w:tc>
          <w:tcPr>
            <w:tcW w:type="dxa" w:w="2340"/>
          </w:tcPr>
          <w:p>
            <w:r>
              <w:t>6.30x vs Random</w:t>
            </w:r>
          </w:p>
        </w:tc>
        <w:tc>
          <w:tcPr>
            <w:tcW w:type="dxa" w:w="2340"/>
          </w:tcPr>
          <w:p>
            <w:r>
              <w:t>1.00x (Baseline)</w:t>
            </w:r>
          </w:p>
        </w:tc>
        <w:tc>
          <w:tcPr>
            <w:tcW w:type="dxa" w:w="2340"/>
          </w:tcPr>
          <w:p>
            <w:r>
              <w:t>p &lt; 0.001 (High Faithfulness)</w:t>
            </w:r>
          </w:p>
        </w:tc>
      </w:tr>
      <w:tr>
        <w:tc>
          <w:tcPr>
            <w:tcW w:type="dxa" w:w="2340"/>
          </w:tcPr>
          <w:p>
            <w:r>
              <w:t>XAI Stability (SNR=50)</w:t>
            </w:r>
          </w:p>
        </w:tc>
        <w:tc>
          <w:tcPr>
            <w:tcW w:type="dxa" w:w="2340"/>
          </w:tcPr>
          <w:p>
            <w:r>
              <w:t>Jaccard = 0.7768</w:t>
            </w:r>
          </w:p>
        </w:tc>
        <w:tc>
          <w:tcPr>
            <w:tcW w:type="dxa" w:w="2340"/>
          </w:tcPr>
          <w:p>
            <w:r>
              <w:t>N/A</w:t>
            </w:r>
          </w:p>
        </w:tc>
        <w:tc>
          <w:tcPr>
            <w:tcW w:type="dxa" w:w="2340"/>
          </w:tcPr>
          <w:p>
            <w:r>
              <w:t>High observational stability</w:t>
            </w:r>
          </w:p>
        </w:tc>
      </w:tr>
    </w:tbl>
    <w:p>
      <w:pPr>
        <w:pStyle w:val="Heading1"/>
      </w:pPr>
      <w:r>
        <w:t>7. Disclosures &amp; Scientific Limitations</w:t>
      </w:r>
    </w:p>
    <w:p>
      <w:r>
        <w:t>1. Class Imbalance: Classes K and G represent 89.8% of the dataset due to APOGEE targeting of red giants.</w:t>
        <w:br/>
        <w:t>2. Proxy Classification: Target classes are effective-temperature proxies, not true optical MK classifications.</w:t>
        <w:br/>
        <w:t>3. Diffuse Spectral Learning: The model utilizes broader molecular bands and continuum slopes alongside atomic 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