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PP1 PRESENTATION SPEAKER NOTES &amp; TIMED SCRIPT</w:t>
      </w:r>
    </w:p>
    <w:p>
      <w:pPr>
        <w:pStyle w:val="Heading2"/>
      </w:pPr>
      <w:r>
        <w:t>Slide 1</w:t>
      </w:r>
    </w:p>
    <w:p>
      <w:r>
        <w:t>Slide 1 (Title): Good morning/afternoon respected examiners. I am P.K. Edirisooriya (IT23330696). Today I present Progress Presentation 1 for Module 1 of Project J26-IT-449: 'SHAP-Driven Feature Discovery in Stellar Spectra'.</w:t>
      </w:r>
    </w:p>
    <w:p>
      <w:pPr>
        <w:pStyle w:val="Heading2"/>
      </w:pPr>
      <w:r>
        <w:t>Slide 2</w:t>
      </w:r>
    </w:p>
    <w:p>
      <w:r>
        <w:t>Slide 2 (Problem &amp; Gap): While machine learning achieves high accuracy in stellar classification, deep networks operate as black boxes. In astronomy, predictions without physical justification are useless. Our research bridges this gap by rigorously evaluating XAI against NIST atomic transitions.</w:t>
      </w:r>
    </w:p>
    <w:p>
      <w:pPr>
        <w:pStyle w:val="Heading2"/>
      </w:pPr>
      <w:r>
        <w:t>Slide 3</w:t>
      </w:r>
    </w:p>
    <w:p>
      <w:r>
        <w:t>Slide 3 (Objectives): My individual objective is to establish a mathematically sound, physically grounded XAI framework for APOGEE spectra. I have delivered on all 5 specific objectives for this PP1 milestone.</w:t>
      </w:r>
    </w:p>
    <w:p>
      <w:pPr>
        <w:pStyle w:val="Heading2"/>
      </w:pPr>
      <w:r>
        <w:t>Slide 4</w:t>
      </w:r>
    </w:p>
    <w:p>
      <w:r>
        <w:t>Slide 4 (Dataset): Our dataset contains 1,033 genuine APOGEE DR17 FITS spectra covering the infrared H-band. We transparently disclose that classes are effective-temperature proxies, reflecting natural red giant survey dominance.</w:t>
      </w:r>
    </w:p>
    <w:p>
      <w:pPr>
        <w:pStyle w:val="Heading2"/>
      </w:pPr>
      <w:r>
        <w:t>Slide 5</w:t>
      </w:r>
    </w:p>
    <w:p>
      <w:r>
        <w:t>Slide 5 (Preprocessing): We resample raw spectra to 4,000 channels, ensuring 0.475 Å/pixel dispersion which satisfies the Nyquist sampling criterion for stellar absorption features, followed by continuum normalization.</w:t>
      </w:r>
    </w:p>
    <w:p>
      <w:pPr>
        <w:pStyle w:val="Heading2"/>
      </w:pPr>
      <w:r>
        <w:t>Slide 6</w:t>
      </w:r>
    </w:p>
    <w:p>
      <w:r>
        <w:t>Slide 6 (Leakage Audit): Research integrity is paramount. Our code audit uncovered an indexing bug in the historical split causing 102 overlapping stars. We corrected this immediately, creating a verified zero-leakage split and reporting both numbers transparently.</w:t>
      </w:r>
    </w:p>
    <w:p>
      <w:pPr>
        <w:pStyle w:val="Heading2"/>
      </w:pPr>
      <w:r>
        <w:t>Slide 7</w:t>
      </w:r>
    </w:p>
    <w:p>
      <w:r>
        <w:t>Slide 7 (Architectures): We benchmark three deep learning architectures. The CNN-BiLSTM combines localized convolutional filters with a bidirectional recurrent sequence layer to capture broad spectral relationships across 4,000 channels.</w:t>
      </w:r>
    </w:p>
    <w:p>
      <w:pPr>
        <w:pStyle w:val="Heading2"/>
      </w:pPr>
      <w:r>
        <w:t>Slide 8</w:t>
      </w:r>
    </w:p>
    <w:p>
      <w:r>
        <w:t>Slide 8 (Benchmark): On the verified clean test set, the CNN-BiLSTM achieves 77.33% accuracy and 74.15% balanced accuracy. Classical baselines collapse on minority classes, whereas our model demonstrates superior generalization across all spectral types.</w:t>
      </w:r>
    </w:p>
    <w:p>
      <w:pPr>
        <w:pStyle w:val="Heading2"/>
      </w:pPr>
      <w:r>
        <w:t>Slide 9</w:t>
      </w:r>
    </w:p>
    <w:p>
      <w:r>
        <w:t>Slide 9 (DeepSHAP): Using shap.GradientExplainer, we calculate attribution values across all 4,000 wavelength channels for every test star. A background of real spectra ensures realistic physical baselines.</w:t>
      </w:r>
    </w:p>
    <w:p>
      <w:pPr>
        <w:pStyle w:val="Heading2"/>
      </w:pPr>
      <w:r>
        <w:t>Slide 10</w:t>
      </w:r>
    </w:p>
    <w:p>
      <w:r>
        <w:t>Slide 10 (Line Matching): We matched detected attribution peaks against 31 NIST literature lines within 3.5 Å, achieving an alignment score of 10.53% with confirmed physical matches for aluminium, silicon, iron, and hydrogen Brackett-14.</w:t>
      </w:r>
    </w:p>
    <w:p>
      <w:pPr>
        <w:pStyle w:val="Heading2"/>
      </w:pPr>
      <w:r>
        <w:t>Slide 11</w:t>
      </w:r>
    </w:p>
    <w:p>
      <w:r>
        <w:t>Slide 11 (Monte Carlo): To avoid false discovery claims, we ran a 1,000-trial Monte Carlo random test. The observed 10.53% matches the random expectation of 10.19% (p=0.538), proving the network learns broader molecular and continuum transitions alongside atomic lines.</w:t>
      </w:r>
    </w:p>
    <w:p>
      <w:pPr>
        <w:pStyle w:val="Heading2"/>
      </w:pPr>
      <w:r>
        <w:t>Slide 12</w:t>
      </w:r>
    </w:p>
    <w:p>
      <w:r>
        <w:t>Slide 12 (Faithfulness &amp; Stability): We objectively validated explanation quality. Top-k SHAP masking degrades model confidence 6.30x faster than random perturbations (AOPC=0.75), and explanations maintain over 77.6% stability under observational survey noise.</w:t>
      </w:r>
    </w:p>
    <w:p>
      <w:pPr>
        <w:pStyle w:val="Heading2"/>
      </w:pPr>
      <w:r>
        <w:t>Slide 13</w:t>
      </w:r>
    </w:p>
    <w:p>
      <w:r>
        <w:t>Slide 13 (Application): Our 6-page Streamlit web dashboard allows astronomers to upload real FITS files for real-time classification, SHAP attribution overlay, and interactive inspection of scientific validation metrics.</w:t>
      </w:r>
    </w:p>
    <w:p>
      <w:pPr>
        <w:pStyle w:val="Heading2"/>
      </w:pPr>
      <w:r>
        <w:t>Slide 14</w:t>
      </w:r>
    </w:p>
    <w:p>
      <w:r>
        <w:t>Slide 14 (Testing): We implemented 50 automated pytest assertions covering dataset zero-leakage, architecture dimensions, XAI faithfulness, and scientific line alignment. All 50 tests pass with a 100% success rate.</w:t>
      </w:r>
    </w:p>
    <w:p>
      <w:pPr>
        <w:pStyle w:val="Heading2"/>
      </w:pPr>
      <w:r>
        <w:t>Slide 15</w:t>
      </w:r>
    </w:p>
    <w:p>
      <w:r>
        <w:t>Slide 15 (Conclusion): In conclusion, Module 1 is fully implemented, verified, and audit-compliant for PP1. Our next steps toward PP2 include physics-informed loss functions and epistemic uncertainty quantification. Thank you. I welcome your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