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PP1 PRESENTATION SPEAKER NOTES &amp; TIMED SCRIPT (CORRECTED)</w:t>
      </w:r>
    </w:p>
    <w:p>
      <w:pPr>
        <w:pStyle w:val="Heading2"/>
      </w:pPr>
      <w:r>
        <w:t>Slide 1</w:t>
      </w:r>
    </w:p>
    <w:p>
      <w:r>
        <w:t>Slide 1 (Title): Good morning/afternoon respected examiners. I am P.K. Edirisooriya (IT23330696). Today I present Progress Presentation 1 for Module 1 of Project J26-IT-449: 'SHAP-Driven Feature Discovery in Stellar Spectra', focusing on Explainable AI and exploratory spectral-line alignment in APOGEE DR17.</w:t>
      </w:r>
    </w:p>
    <w:p>
      <w:pPr>
        <w:pStyle w:val="Heading2"/>
      </w:pPr>
      <w:r>
        <w:t>Slide 2</w:t>
      </w:r>
    </w:p>
    <w:p>
      <w:r>
        <w:t>Slide 2 (Problem &amp; Gap): While machine learning achieves high accuracy in stellar classification, deep networks operate as black boxes. In astronomy, predictions without physical justification cannot be trusted. Our research evaluates whether Gradient SHAP explanations align with known stellar physics and remain faithful to model decisions.</w:t>
      </w:r>
    </w:p>
    <w:p>
      <w:pPr>
        <w:pStyle w:val="Heading2"/>
      </w:pPr>
      <w:r>
        <w:t>Slide 3</w:t>
      </w:r>
    </w:p>
    <w:p>
      <w:r>
        <w:t>Slide 3 (Objectives): My individual objective is to establish a mathematically sound, physically evaluated XAI framework for APOGEE spectra. I have delivered on all 5 specific objectives for this PP1 milestone.</w:t>
      </w:r>
    </w:p>
    <w:p>
      <w:pPr>
        <w:pStyle w:val="Heading2"/>
      </w:pPr>
      <w:r>
        <w:t>Slide 4</w:t>
      </w:r>
    </w:p>
    <w:p>
      <w:r>
        <w:t>Slide 4 (Dataset): Our dataset contains 1,004 catalog entries and 1,000 verified processed APOGEE DR17 spectra. The clean zero-leakage split allocates 700 stars to training, 150 to validation, and 150 to testing with exactly 0 shared 2MASS object IDs. The test set comprises 97 K, 38 G, 9 F, 4 A, and 2 B stars, mirroring the survey's natural red giant dominance.</w:t>
      </w:r>
    </w:p>
    <w:p>
      <w:pPr>
        <w:pStyle w:val="Heading2"/>
      </w:pPr>
      <w:r>
        <w:t>Slide 5</w:t>
      </w:r>
    </w:p>
    <w:p>
      <w:r>
        <w:t>Slide 5 (Preprocessing): We resample spectra to 4,000 logarithmic channels across the APOGEE H-band, followed by a 101-pixel running median continuum normalization that matches both training and application inference.</w:t>
      </w:r>
    </w:p>
    <w:p>
      <w:pPr>
        <w:pStyle w:val="Heading2"/>
      </w:pPr>
      <w:r>
        <w:t>Slide 6</w:t>
      </w:r>
    </w:p>
    <w:p>
      <w:r>
        <w:t>Slide 6 (Leakage Audit): Research integrity is paramount. Our technical audit identified an indexing bug in the historical split where 102 stars overlapped. We fixed this with a verified zero-leakage partition of 700/150/150 independent stars, confirmed by 0 shared 2MASS object IDs.</w:t>
      </w:r>
    </w:p>
    <w:p>
      <w:pPr>
        <w:pStyle w:val="Heading2"/>
      </w:pPr>
      <w:r>
        <w:t>Slide 7</w:t>
      </w:r>
    </w:p>
    <w:p>
      <w:r>
        <w:t>Slide 7 (Architectures): Here is the exact architecture from model_architectures.py. Our proposed CNN-BiLSTM uses two convolutional blocks with kernels 11 and 7, followed by a 1-layer bidirectional LSTM with 64 units per direction, global temporal max pooling, and a dense classification head without attention.</w:t>
      </w:r>
    </w:p>
    <w:p>
      <w:pPr>
        <w:pStyle w:val="Heading2"/>
      </w:pPr>
      <w:r>
        <w:t>Slide 8</w:t>
      </w:r>
    </w:p>
    <w:p>
      <w:r>
        <w:t>Slide 8 (Benchmark): On the clean 150-star test set, CNN-BiLSTM achieves 77.33% accuracy and 74.15% balanced accuracy. While Logistic Regression (84.67%) and Random Forest (84.00%) have higher nominal accuracy, they achieve this by predicting majority K stars, collapsing balanced accuracy to 52.4% and 56.9%. Our model delivers substantially higher balanced accuracy across all 5 classes (A: 0.57, B: 0.57, F: 0.52, G: 0.67, K: 0.87).</w:t>
      </w:r>
    </w:p>
    <w:p>
      <w:pPr>
        <w:pStyle w:val="Heading2"/>
      </w:pPr>
      <w:r>
        <w:t>Slide 9</w:t>
      </w:r>
    </w:p>
    <w:p>
      <w:r>
        <w:t>Slide 9 (Gradient SHAP): We use shap.GradientExplainer — Gradient SHAP — because recurrent LSTM layers are incompatible with DeepLIFT graph tracing. Gradient SHAP computes expected gradients over 30 real training spectra, producing a clean (150, 4000, 5) attribution tensor with zero non-finite values.</w:t>
      </w:r>
    </w:p>
    <w:p>
      <w:pPr>
        <w:pStyle w:val="Heading2"/>
      </w:pPr>
      <w:r>
        <w:t>Slide 10</w:t>
      </w:r>
    </w:p>
    <w:p>
      <w:r>
        <w:t>Slide 10 (Line Matching): We matched detected attribution peaks against 31 NIST literature lines within 3.5 Å. The 6 verified matches are O I, H Brackett-14, N I, Si I, Mg I, and a second O I feature, yielding an observed alignment score of 10.53%.</w:t>
      </w:r>
    </w:p>
    <w:p>
      <w:pPr>
        <w:pStyle w:val="Heading2"/>
      </w:pPr>
      <w:r>
        <w:t>Slide 11</w:t>
      </w:r>
    </w:p>
    <w:p>
      <w:r>
        <w:t>Slide 11 (Monte Carlo): To evaluate whether 10.53% alignment is meaningful, we ran a 1,000-trial Monte Carlo test. The random baseline mean is 10.19% (p=0.538), showing that narrow atomic-line alignment is not statistically significant above chance. We report this finding candidly rather than overclaiming physical line discovery.</w:t>
      </w:r>
    </w:p>
    <w:p>
      <w:pPr>
        <w:pStyle w:val="Heading2"/>
      </w:pPr>
      <w:r>
        <w:t>Slide 12</w:t>
      </w:r>
    </w:p>
    <w:p>
      <w:r>
        <w:t>Slide 12 (Faithfulness &amp; Stability): We objectively validated explanation quality. Top-k SHAP masking degrades model confidence 6.30x faster than random perturbations (AOPC=0.75 vs 0.12), and explanations maintain over 77.6% Jaccard overlap under simulated survey noise.</w:t>
      </w:r>
    </w:p>
    <w:p>
      <w:pPr>
        <w:pStyle w:val="Heading2"/>
      </w:pPr>
      <w:r>
        <w:t>Slide 13</w:t>
      </w:r>
    </w:p>
    <w:p>
      <w:r>
        <w:t>Slide 13 (Application): Our 6-page Streamlit web dashboard supports live upload of FITS, CSV, NPZ, and NPY spectra with training-parity preprocessing and computes real-time Gradient SHAP attributions specifically for uploaded spectra.</w:t>
      </w:r>
    </w:p>
    <w:p>
      <w:pPr>
        <w:pStyle w:val="Heading2"/>
      </w:pPr>
      <w:r>
        <w:t>Slide 14</w:t>
      </w:r>
    </w:p>
    <w:p>
      <w:r>
        <w:t>Slide 14 (Testing): We implemented 69 automated pytest assertions covering dataset zero-leakage, architecture dimensions, direct recomputation from model weights, XAI faithfulness, scientific line alignment, and strict upload preprocessing contracts. All 69 tests pass with a 100% success rate.</w:t>
      </w:r>
    </w:p>
    <w:p>
      <w:pPr>
        <w:pStyle w:val="Heading2"/>
      </w:pPr>
      <w:r>
        <w:t>Slide 15</w:t>
      </w:r>
    </w:p>
    <w:p>
      <w:r>
        <w:t>Slide 15 (Conclusion): In conclusion, Module 1 is fully implemented, verified, and audit-compliant for PP1. Our next steps toward PP2 include synthetic augmentation for hot stars and molecular bandhead analysis. Thank you. I welcome your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