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mc="http://schemas.openxmlformats.org/markup-compatibility/2006" xmlns:wp="http://schemas.openxmlformats.org/drawingml/2006/wordprocessingDrawing" xmlns:a="http://schemas.openxmlformats.org/drawingml/2006/main" xmlns:pic="http://schemas.openxmlformats.org/drawingml/2006/picture" xmlns:r="http://schemas.openxmlformats.org/officeDocument/2006/relationships" mc:Ignorable="w14 wp14">
  <w:body>
    <w:p>
      <w:pPr>
        <w:jc w:val="center"/>
      </w:pPr>
      <w:r>
        <w:rPr>
          <w:b/>
        </w:rPr>
        <w:t>Governance Concentration Beyond Token Allocation: An Institutional Design Analysis of DePIN and DeFi</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jc w:val="center"/>
      </w:pPr>
      <w:r>
        <w:rPr/>
        <w:t>April 2026</w:t>
      </w:r>
    </w:p>
    <w:p>
      <w:pPr>
        <w:pStyle w:val="Heading1"/>
      </w:pPr>
      <w:r>
        <w:t>Abstract</w:t>
      </w:r>
    </w:p>
    <w:p>
      <w:r>
        <w:t>Initial token allocation design does not predict governance concentration. A 40-protocol cross-section spanning Decentralized Physical Infrastructure Networks (DePIN), DeFi, infrastructure, and social token categories documents that the percentage of tokens allocated to team and investors at launch is uninformative about post-distribution governance concentration (Pearson r = 0.18, p = 0.28, N = 37): protocols with generous community distributions exhibit concentration patterns similar to those with heavy insider allocations. Hyperliquid, the only protocol in the sample with zero venture capital and a 31% community airdrop, shows the lowest DeFi-subsample Herfindahl-Hirschman Index (HHI) of 0.005, but the broader null holds across allocation designs. Evidence is consistent with post-distribution market dynamics shaping concentration more than initial structural design.</w:t>
      </w:r>
    </w:p>
    <w:p>
      <w:r>
        <w:t>Four supporting findings sharpen the picture. First, protocols with more insider wallets in their top-holder sets exhibit higher concentration among non-insider holders (Spearman rho = 0.54, p = 0.001, N = 34), indicating that insider-heavy protocols develop concentrated governance ecosystems, not merely concentrated insider positions. Second, sector membership predicts concentration: DePIN protocols are more concentrated than DeFi (Mann-Whitney p = 0.014, Cohen’s d = 1.03), and the effect survives multivariate OLS adjustment across three nested specifications adding protocol age, log fully diluted valuation (FDV), and initial insider allocation as successive controls (sector coefficient p &lt; 0.05 in Models 1 and 2, borderline at p = 0.050 in Model 3 with the full control set; adjusted R² 0.14 to 0.17; Table 6). Third, on-chain subsidy intensity correlates with concentration in levels (r = 0.57, p = 0.008, N = 20) but entirely through Livepeer (88.5x subsidy): excluding Livepeer, the correlation is not significant (r = 0.11, p = 0.65). Fourth, delegation amplifies concentration unevenly: voting-power HHI reaches 3 to 6 times holding HHI in DePIN, while two infrastructure protocols diverge (Optimism 0.79x, Arbitrum 4.3x), consistent with institutional design at the operator and router level shaping governance outcomes more than sector classification alone.</w:t>
      </w:r>
    </w:p>
    <w:p>
      <w:r>
        <w:t>These findings rest on a measurement distinction often conflated in the literature. Token inequality (Gini, dispersion across all holders) and governance concentration (HHI, sum of squared shares across top holders) capture distinct properties of the same holder set. Inequality is severe in every protocol (Gini 0.52 to 0.99), while concentration varies across two orders of magnitude (HHI 0.005 to 0.199); their moderate correlation (r = 0.51) shows that inequality metrics cannot substitute for direct concentration measurement.</w:t>
      </w:r>
    </w:p>
    <w:p>
      <w:pPr>
        <w:spacing w:before="240"/>
      </w:pPr>
      <w:r>
        <w:rPr>
          <w:b/>
        </w:rPr>
        <w:t xml:space="preserve">JEL Codes: </w:t>
      </w:r>
      <w:r>
        <w:rPr/>
        <w:t>C21, D02, D47, D63, D71, D72, G34, L22, P48</w:t>
      </w:r>
    </w:p>
    <w:p>
      <w:pPr>
        <w:spacing w:before="240"/>
      </w:pPr>
      <w:r>
        <w:rPr>
          <w:b/>
        </w:rPr>
        <w:t>Keywords: tokenomics, institutional design, governance concentration, DAO governance, DePIN, delegation amplification, Herfindahl-Hirschman Index, political philosophy of institutions, polycentric governance, exclusion methodology</w:t>
      </w:r>
      <w:r>
        <w:rPr/>
      </w:r>
    </w:p>
    <w:p>
      <w:pPr>
        <w:pStyle w:val="Heading1"/>
      </w:pPr>
      <w:r>
        <w:t xml:space="preserve">1 Introduction</w:t>
      </w:r>
    </w:p>
    <w:p>
      <w:pPr>
        <w:pStyle w:val="Heading2"/>
      </w:pPr>
      <w:r>
        <w:t>1.1 Motivation</w:t>
      </w:r>
    </w:p>
    <w:p>
      <w:r>
        <w:t>Three protocols with near-identical subsidy ratios exhibit governance HHI spanning 0.020 to 0.171: financial sustainability is neither necessary nor sufficient for governance decentralization (Section 3.4). Governance concentration is a secondary market outcome, shaped by post-distribution trading and accumulation dynamics that neither allocation design nor protocol financial characteristics predict.</w:t>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(a blockchain contract verification tool)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Four findings emerge. First, naive token holder lists include addresses that cannot vote: staking contracts, exchange custodians, vesting locks, and protocol treasuries. Across 20 protocols, 69 such addresses were included in prior concentration measurements, inflating affected protocols’ HHI by up to 7x. Second, current insider wallet retention predicts governance concentration (Spearman rho = 0.44, p = 0.005), while initial allocation design does not (Section 3.4). Third, DePIN governance concentration is higher than DeFi after exclusion correction (Mann-Whitney p = 0.014, Cohen’s d = 1.03), and the finding is robust to single-protocol exclusion (significant in all 30 of 30 leave-one-out iterations). Fourth, delegation amplifies concentration unevenly: DePIN protocols show voting-power HHI 3 to 6 times their holding HHI, while the two infrastructure protocols sampled show heterogeneous outcomes (Optimism 0.79 times, Arbitrum 4.3 times), suggesting that institutional design within the delegate program rather than sector category determines the direction of delegation effects.</w:t>
      </w:r>
    </w:p>
    <w:p>
      <w:r>
        <w:t xml:space="preserve">Recent scoping work by Alshater (2026) systematically maps the DePIN tokenomics design space, identifying the burn-and-mint equilibrium, governance-calibrated issuance, and provider staking as the dominant economic primitives across leading deployments. Alshater explicitly frames decentralization as a spectrum rather than a binary property, echoing analyses of decentralized governance for cyber-physical systems (Nabben et al., 2024), and identifies the lack of rigorous quantitative empirical work on these models as the field’s most pressing research gap. The cross-sectional measurement reported here responds to that gap, applying Herfindahl-Hirschman Index analysis to forty protocols spanning DePIN and adjacent categories.</w:t>
      </w:r>
    </w:p>
    <w:p>
      <w:r>
        <w:t>These results extend the governance concentration literature (Barbereau et al., 2023; Feichtinger et al., 2023; Cong et al., 2025) in three directions: an exclusion methodology that corrects a systematic measurement artifact in prior work, a cross-sector null documenting that neither revenue, subsidy intensity, token maturity, nor initial allocation predicts governance concentration, and a normative framework translating five political-philosophical traditions into observable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scoring rubric that other researchers can apply. This paper is part of a research program examining infrastructure-layer design across stablecoin, tokenized asset, and DePIN domains. The program's unifying thesis: regulation and audit should target the operators and control systems that issue, custody, and route tokens, rather than the tokens themselves.</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r>
        <w:t>In practical terms: every decision about how tokens are distributed, who can vote, what can be changed, and how violations are punished is simultaneously an economic design choice and a political one.</w:t>
      </w:r>
    </w:p>
    <w:p>
      <w:r>
        <w:rPr/>
        <w:t xml:space="preserve">Political philosophy asks:</w:t>
      </w:r>
      <w:r>
        <w:rPr>
          <w:i/>
        </w:rPr>
        <w:t>What makes a rule system just, stable, and worth participating in?</w:t>
      </w:r>
      <w:r>
        <w:rPr/>
        <w:t xml:space="preserve"> Tokenomics asks: </w:t>
      </w:r>
      <w:r>
        <w:rPr>
          <w:i/>
        </w:rPr>
        <w:t xml:space="preserve">What rules and incentives produce participation, security, sustainability, and coordination under strategic behavior?</w:t>
      </w:r>
      <w:r>
        <w:rPr/>
        <w:t xml:space="preserve">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on Helium's fiscal sustainability and demand concentration is developed in a separate study (Zukowski, 2026a).</w:t>
      </w:r>
    </w:p>
    <w:p>
      <w:pPr>
        <w:pStyle w:val="Heading2"/>
      </w:pPr>
      <w:r>
        <w:t>1.4 Scope, Assumptions, and Limitations</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b/>
        </w:rPr>
        <w:t xml:space="preserve">Participants are strategic</w:t>
      </w:r>
      <w:r>
        <w:rPr/>
        <w:t xml:space="preserve">; incentives and governance rules shape behavior.</w:t>
      </w:r>
    </w:p>
    <w:p>
      <w:r>
        <w:rPr>
          <w:b/>
        </w:rPr>
        <w:t xml:space="preserve">Legitimacy affects participation</w:t>
      </w:r>
      <w:r>
        <w:rPr/>
        <w:t xml:space="preserve"> persistence and willingness to invest in long-run cooperation.</w:t>
      </w:r>
    </w:p>
    <w:p>
      <w:r>
        <w:rPr>
          <w:b/>
        </w:rPr>
        <w:t xml:space="preserve">Public rule systems</w:t>
      </w:r>
      <w:r>
        <w:rPr/>
        <w:t xml:space="preserve"> can be observed and scored with acceptable reliability using well-defined rubrics.</w:t>
      </w:r>
    </w:p>
    <w:p>
      <w:pPr>
        <w:pStyle w:val="Heading3"/>
      </w:pPr>
      <w:r>
        <w:t>1.4.3 Limitations</w:t>
      </w:r>
    </w:p>
    <w:p>
      <w:r>
        <w:rPr/>
        <w:t>Construct validity: translating philosophical traditions into observable governance features carries inherent simplification risks.</w:t>
      </w:r>
      <w:r>
        <w:t xml:space="preserve"/>
      </w:r>
    </w:p>
    <w:p>
      <w:r>
        <w:rPr/>
        <w:t>Causal inference scope: the analysis is descriptive. A cross-sectional snapshot measures associations between protocol features and governance concentration at one point in time; it cannot isolate which feature causes which outcome. The correlations reported here are interpreted as associations, not as causal mechanisms.</w:t>
      </w:r>
    </w:p>
    <w:p>
      <w:r>
        <w:rPr/>
        <w:t>Data limitations: not all outcomes relevant to institutional legitimacy are observable on-chain; capability and welfare dimensions require complementary data beyond the current analysis.</w:t>
      </w:r>
    </w:p>
    <w:p>
      <w:pPr>
        <w:pStyle w:val="Heading2"/>
      </w:pPr>
      <w:r>
        <w:t>1.5 Paper Outline</w:t>
      </w:r>
    </w:p>
    <w:p>
      <w:r>
        <w:rPr>
          <w:b w:val="0"/>
        </w:rPr>
        <w:t>Section 2 develops the theoretical framework and design hypotheses and (in Section 2.10) operationalizes the framework through a scoring rubric and governance concentration cross-section design. Section 3 presents the empirical illustration. Section 4 discusses implications, limitations, and future directions. Supplementary materials provide full metric definitions, research instrument templates, and the replication-ready pipeline specification.</w:t>
      </w:r>
    </w:p>
    <w:p>
      <w:pPr>
        <w:pStyle w:val="Heading1"/>
      </w:pPr>
      <w:r>
        <w:t xml:space="preserve">2 Materials and Methods</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r>
        <w:t>function as institutions: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3.4.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r>
        <w:t>that protocols marketed as decentralized frequently concentrate decision-making power among a small number of token holders, developers, or validators. This critique is significant for this paper because it links governance concentration to systemic risks and questions the legitimacy of “decentralized” claims.</w:t>
      </w:r>
    </w:p>
    <w:p>
      <w:r>
        <w:t>Gersbach, Schneider, and Shahkar (2024) analyze vote delegation and find it can meaningfully change outcomes under highly unbalanced voting rights but has negligible impact under balanced systems, suggesting delegation is not a universal solution to legitimacy problems. Weidener et al. (2025) similarly maps delegation’s implementation and challenges, reinforcing that delegation can either mitigate or entrench concentration depending on design. Hall and Miyazaki (2024) analyze liquid democracy across 18 DAOs, finding that only 17% of tokens are delegated yet the top five delegates routinely capture over 50% of effectively voted weight, with high-SSPI delegates more likely to signal early and cascade alignment; the 3 to 6 times delegation amplification ratios documented in Section 3.5 are consistent with this clumping pattern. Esposito, Tse, and Goh (2025) evaluate quadratic voting and delegated governance against Ostrom’s CPR framework, documenting that tokenization alone is insufficient for inclusive governance.</w:t>
      </w:r>
    </w:p>
    <w:p>
      <w:r>
        <w:rPr/>
        <w:t>Most directly relevant, Cong et al. (2025) provide stylized facts and analysis suggesting persistent concentration in DAOs and governance token trading dynamics, reinforcing the need for institutional safeguards rather than assuming “token voting” equals democracy. Panel evidence from DAO-quarter data documents that effective governance control concentrates as proposal volume scales, consistent with monitoring costs outpacing broad-based participation (Tchuente, 2025); the cross-sectional allocation null documented here (r = 0.18, p = 0.28) is compatible with this scale-driven concentration mechanism operating independently of initial token distribution.</w:t>
      </w:r>
    </w:p>
    <w:p>
      <w:r>
        <w:rPr/>
        <w:t>Calzada (2025) corroborates these patterns ethnographically across seven Web3 ecosystems, documenting whale dominance and voter turnout below 10% in major DAOs.</w:t>
      </w:r>
    </w:p>
    <w:p>
      <w:r>
        <w:rPr/>
        <w:t>The governance concentration patterns documented in Section 3 are consistent with Williamson’s (1999) “probity hazard”: token holders can comply with smart contract rules while extracting value that contradicts the protocol’s institutional mission, a risk that intensifies as governance power concentrates in fewer addresses.</w:t>
      </w:r>
    </w:p>
    <w:p>
      <w:r>
        <w:rPr/>
        <w:t>Voting power inequality in Compound, Uniswap, and ENS exceeds wealth inequality in real-world economies, with </w:t>
      </w:r>
      <w:r>
        <w:t>voting power more unequally distributed than income in any country (Fritsch, Müller, &amp; Wattenhofer, 2024), a pattern consistent with the delegation amplification documented in Section 3.5;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Han, Lee, and Li (2023) formalize the governance consequences of ownership concentration, showing that whale dominance reduces platform growth but that staking mechanisms and token illiquidity can mitigate it. The finding that ownership concentration is structurally harmful, not merely descriptive, motivates the normative framework developed here: if concentration damages governance quality, the political-philosophical traditions that specify what good governance requires become directly relevant to token system design. Han, Lee, and Li (2024) provide a comprehensive review of DAO governance mechanisms and the emerging agency problem between large and small token holders.</w:t>
      </w:r>
    </w:p>
    <w:p>
      <w:pPr>
        <w:pStyle w:val="Heading3"/>
        <w:rPr/>
        <w:rPr/>
      </w:pPr>
      <w:ins w:id="1040" w:author="Zach Zukowski (R1 revision)" w:date="2026-05-10T00:00:00Z">
        <w:r>
          <w:t xml:space="preserve">2.4.1 Cooperatives as the Nearest Institutional Ancestor</w:t>
        </w:r>
      </w:ins>
    </w:p>
    <w:p>
      <w:pPr>
        <w:pStyle w:val="Normal"/>
        <w:rPr/>
        <w:rPr/>
      </w:pPr>
      <w:ins w:id="1041" w:author="Zach Zukowski (R1 revision)" w:date="2026-05-10T00:00:00Z">
        <w:r>
          <w:t xml:space="preserve">Among established institutional forms, the cooperative bears the closest structural resemblance to the tokenized protocol. Both organize collective production without a single owner who captures surplus; both distribute governance rights to participants rather than to external shareholders; both face the challenge of sustaining voluntary participation under conditions where exit is available. The cooperative literature (Hansmann, 1996; Birchall, 2011) identifies these properties as the defining features of member-owned enterprise, distinguishing cooperatives from investor-owned firms. The International Cooperative Alliance's seven cooperative principles (ICA, 1995), including voluntary membership, democratic member control, and concern for community, map onto legitimacy constraints derived from political philosophy.</w:t>
        </w:r>
      </w:ins>
    </w:p>
    <w:p>
      <w:pPr>
        <w:pStyle w:val="Normal"/>
        <w:rPr/>
        <w:rPr/>
      </w:pPr>
      <w:ins w:id="1042" w:author="Zach Zukowski (R1 revision)" w:date="2026-05-10T00:00:00Z">
        <w:r>
          <w:t xml:space="preserve">Five structural differences separate protocols from cooperatives. First, cooperatives require application and capital contribution; protocols permit permissionless entry under pseudonymity. Second, cooperative ownership is purchased; well-designed protocol ownership is earned through contribution (staking, hardware deployment, service delivery), a property Scholz (2016) identifies as the platform-cooperativism premise. The governance concentration data presented in Section 3 indicate that most protocols have not collapsed the capital-labor boundary in practice: holding HHI values span from cooperative-grade distribution (Anyone Protocol 0.040) to single-party control. Third, cooperatives enforce through bylaws, elected boards, and courts; protocols enforce through code, gaining credible neutrality at the cost of contextual judgment unless appeal mechanisms are designed in. Fourth, cooperatives operate within one jurisdiction's cooperative law; protocols operate across jurisdictions simultaneously, making Ostromian polycentricity (developed in Section 2.6) a structural necessity rather than a design preference. Fifth, cooperative fiscal discipline operates through dues and patronage dividends; protocol fiscal discipline operates through emissions and burns, with the Spend-to-Reward ratio the protocol equivalent of cooperative fiscal sustainability.</w:t>
        </w:r>
      </w:ins>
    </w:p>
    <w:p>
      <w:pPr>
        <w:pStyle w:val="Normal"/>
        <w:rPr/>
        <w:rPr/>
      </w:pPr>
      <w:ins w:id="1043" w:author="Zach Zukowski (R1 revision)" w:date="2026-05-10T00:00:00Z">
        <w:r>
          <w:t xml:space="preserve">These distinctions define the contribution space: protocols inherit the cooperative's legitimacy challenge (governing collective production without a centralized principal) while adding permissionless entry, programmable enforcement, and borderless jurisdiction as additional design constraints. The polycentric framework in Section 2.6 takes up this expanded design space; the empirical results in Section 3 indicate how far current protocols remain from satisfying it.</w:t>
        </w:r>
      </w:ins>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t xml:space="preserve">Recent taxonomies formalize DePIN as a distinct coordination category with three architectural layers spanning distributed ledger, cryptoeconomic, and physical infrastructure dimensions (Ballandies et al., 2023), while Alshater (2026) synthesizes the token flywheel mechanism through which burn-and-mint equilibria bootstrap supply-side hardware deployment.</w:t>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(a Python-based simulation framework),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 Van Vulpen and Jansen (2023) map Ostrom’s eight design principles to DAO governance structures, providing a standardized evaluation framework for collective action sustainability; the scoring rubric developed here (Table 1) extends their mapping by adding four non-Ostromian traditions and operationalizing the resulting criteria through quantitative governance concentration data. Li and Chen (2024) conceptualize DAOs as collective stewards of digital commons, adapting Ostrom’s design principles to emphasize equitable distribution of decision-making authority; the governance concentration data in Section 3 test whether operating protocols achieve the distributional outcomes this framing requires. De Filippi et al. (2024) analyze overlapping decision-making structures in blockchain systems through Ostrom’s polycentricity framework, identifying structure, process, and outcome dimensions that map onto the governance concentration, delegation, and participation metrics measured here.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r>
        <w:rPr/>
        <w:t>Five normative traditions constrain how legitimate institutional design should look. Kant’s (1785/1997) publicity principle holds that political maxims must be capable of public avowal and that coercion (slashing, bans, parameter changes) is legitimate only when grounded in transparent and non-arbitrary rules. Republican freedom as non-domination (Pettit, 1997; Stanford Encyclopedia of Philosophy, 2025) reframes legitimacy as protection against arbitrary power rather than mere non-interference, translating into design as contestability through appeals, oversight, and bounded enforcement discretion. The capability approach (Sen, 1999; Nussbaum, 2011) evaluates social arrangements not by aggregate output but by the substantive opportunities individuals have to achieve valued doings and beings, a frame Yanaka and Heeks (2023) extend to digital platform labor and which applies directly to DePIN operators whose hardware lock-in constrains exit options. Hayek’s (1945) “Use of Knowledge in Society” argues that dispersed local information cannot be replicated by centralized planning, providing both a critique of static parameter-setting and a positive case for governance designs that incorporate edge-level signals.</w:t>
      </w:r>
    </w:p>
    <w:p>
      <w:r>
        <w:rPr/>
        <w:t>A fifth tradition addresses the data-and-identity infrastructure that tokenized networks require for sybil resistance, proof-of-service, and reputation. Nissenbaum’s (2010) framing of privacy as contextual integrity treats appropriate information flow as governed by context-specific norms; Floridi (2013) extends this into a broader information ethics. Together, these frameworks underwrite the design claim that token systems relying on ever-expanding telemetry risk becoming disciplinary infrastructures unless constrained by contextual integrity and proportionality. The five traditions are not isolated lenses but complementary specifications of legitimacy, jointly defining the design constraints the framework operationalizes in Section 2.9 and the scoring rubric in Table 1.</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an exclusion methodology (Section 3.2) that identifies 69 addresses controlled by protocols themselves but appearing on holder lists, correcting a measurement artifact in prior work,</w:t>
      </w:r>
    </w:p>
    <w:p>
      <w:r>
        <w:rPr/>
        <w:t>a cross-sector analysis (Section 3) documenting that sector membership predicts concentration after adjusting for protocol age, valuation, and insider allocation, while initial allocation, maturity, and subsidy intensity do not, and</w:t>
      </w:r>
    </w:p>
    <w:p>
      <w:r>
        <w:rPr/>
        <w:t>a normative framework (Sections 2.9–2.10) translating five political-philosophical traditions into observable design criteria through a scoring rubric that other researchers can apply.</w:t>
      </w:r>
    </w:p>
    <w:p>
      <w:pPr>
        <w:pStyle w:val="Heading2"/>
      </w:pPr>
      <w:r>
        <w:t xml:space="preserve">2.9 Theoretical Framework</w:t>
      </w:r>
    </w:p>
    <w:p>
      <w:pPr>
        <w:pStyle w:val="Heading3"/>
      </w:pPr>
      <w:r>
        <w:t xml:space="preserve">2.9.1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 sanctions (slashing conditions, enforcement procedures, dispute resolution).</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3"/>
      </w:pPr>
      <w:r>
        <w:t xml:space="preserve">2.9.2 Formal Definitions and Notation</w:t>
      </w:r>
    </w:p>
    <w:p>
      <w:pPr>
        <w:pStyle w:val="Normal"/>
      </w:pPr>
      <w:r>
        <w:t>Definition 1 (Sink and Faucet)</w:t>
      </w:r>
    </w:p>
    <w:p>
      <w:r>
        <w:rPr/>
        <w:t>A faucet is total net token issuance distributed as rewards or other liquid supply increases over a given time window. A sink is any mechanism that permanently or temporarily removes tokens from circulation: burns, buybacks that retire tokens, or locks that reduce tradeable supply. A system exhibits “sink-before-faucet” discipline when sinks are deployed and observable before (or alongside) large-scale faucets, providing the demand-coupling discipline that Hypothesis 3 formalizes.</w:t>
      </w:r>
    </w:p>
    <w:p>
      <w:pPr>
        <w:pStyle w:val="Normal"/>
      </w:pPr>
      <w:r>
        <w:t>Definition 2 (Spend-to-Reward Ratio, S2R)</w:t>
      </w:r>
    </w:p>
    <w:p>
      <w:r>
        <w:rPr/>
        <w:t>The Spend-to-Reward Ratio (S2R) is the ratio of demand-side spending (tokens removed via sinks) to supply-side issuance (tokens distributed via faucets) over a given time window. S2R serves as a fiscal sustainability indicator: values below 1.0 mean issuance exceeds spending and the system is subsidy-dependent; values above 1.0 mean spending offsets issuance and the system is demand-financed. Higher S2R implies tighter coupling between usage and token scarcity.</w:t>
      </w:r>
    </w:p>
    <w:p>
      <w:pPr>
        <w:pStyle w:val="Normal"/>
      </w:pPr>
      <w:r>
        <w:t>Definition 3 (Outcome Domains)</w:t>
      </w:r>
    </w:p>
    <w:p>
      <w:r>
        <w:rPr/>
        <w:t>Outcomes are grouped into three domains. Economic outcomes include sustainability (revenue and fee flow), market quality (liquidity depth and slippage), resilience (drawdowns and recovery time), and efficiency. Political outcomes include participation rates, concentration (measured by HHI and Gini), procedural justice (appeals, timelocks, contestability), and rule stability. Social outcomes include capability gains, geographic and socioeconomic inclusion, safety, and privacy-preserving participation. The Section 3 empirics use political-domain metrics; economic and social metrics are operationalized in companion studies.</w:t>
      </w:r>
    </w:p>
    <w:p>
      <w:pPr>
        <w:pStyle w:val="Heading3"/>
      </w:pPr>
      <w:r>
        <w:t xml:space="preserve">2.9.3 Conceptual Model: From Philosophy to Mechanisms to Outcomes</w:t>
      </w:r>
    </w:p>
    <w:p>
      <w:pPr>
        <w:pStyle w:val="Normal"/>
      </w:pPr>
      <w:r>
        <w:t>The conceptual model of tokenomics as applied political philosophy organizes the framework across four layers, shown in Figure 1.</w:t>
      </w:r>
    </w:p>
    <w:p>
      <w:pPr>
        <w:jc w:val="center"/>
      </w:pPr>
      <w:r>
        <w:drawing>
          <wp:inlin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b/>
          <w:i/>
          <w:sz w:val="20"/>
        </w:rPr>
        <w:t xml:space="preserve">Figure 1. </w:t>
      </w:r>
      <w:r>
        <w:rPr>
          <w:i/>
          <w:sz w:val="20"/>
        </w:rPr>
        <w:t>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w:t>
      </w:r>
      <w:ins w:id="1054" w:author="Zach Zukowski (R1 revision)" w:date="2026-05-10T00:00:00Z">
        <w:r>
          <w:rPr>
            <w:color w:val="0070C0"/>
          </w:rPr>
          <w:t xml:space="preserve"> Reading the figure: the arrows trace the design pipeline from philosophical commitments through measurable outcomes; each lens in the rubric is a constraint on permissible designs at the corresponding stage.</w:t>
        </w:r>
      </w:ins>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3"/>
      </w:pPr>
      <w:r>
        <w:t xml:space="preserve">2.9.4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Normal"/>
      </w:pPr>
      <w:r>
        <w:t>Hypothesis 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r>
      <w:r>
        <w:rPr/>
        <w:br/>
        <w:t>Justification: Kant’s publicity principle suggests that political maxims requiring secrecy to succeed are illegitimate; in token systems, secrecy increases perceived arbitrariness and reduces willingness to invest in the future under rule uncertainty.</w:t>
      </w:r>
      <w:r>
        <w:rPr/>
      </w:r>
    </w:p>
    <w:p>
      <w:pPr>
        <w:pStyle w:val="Normal"/>
      </w:pPr>
      <w:r>
        <w:t>Hypothesis 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r>
      <w:r>
        <w:rPr/>
        <w:br/>
        <w:t>Justification: Republican freedom as non-domination requires protection against arbitrary interference; appeals and oversight operationalize that requirement by constraining enforcement discretion.</w:t>
      </w:r>
      <w:r>
        <w:rPr/>
      </w:r>
    </w:p>
    <w:p>
      <w:pPr>
        <w:pStyle w:val="Normal"/>
      </w:pPr>
      <w:r>
        <w:t>Hypothesis 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r>
      <w:r>
        <w:rPr/>
        <w:br/>
        <w:t>Justification: In repeated interaction settings, participants discount future rewards when dilution is unconstrained; sinks create credible coupling between real usage and token scarcity/treasury strength.</w:t>
      </w:r>
      <w:r>
        <w:rPr/>
      </w:r>
    </w:p>
    <w:p>
      <w:pPr>
        <w:pStyle w:val="Normal"/>
      </w:pPr>
      <w:r>
        <w:t>Hypothesis 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pPr>
        <w:pStyle w:val="Normal"/>
      </w:pPr>
      <w:r>
        <w:t>Hypothesis 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r>
      <w:r>
        <w:rPr/>
        <w:br/>
        <w:t>Justification: Ostrom’s polycentric governance emphasizes multiple overlapping decision centers as an efficient response to complex systems.</w:t>
      </w:r>
      <w:r>
        <w:rPr/>
      </w:r>
    </w:p>
    <w:p>
      <w:pPr>
        <w:pStyle w:val="Heading3"/>
      </w:pPr>
      <w:r>
        <w:t xml:space="preserve">2.9.5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w:t>
      </w:r>
      <w:r>
        <w:rPr/>
        <w:t xml:space="preserve">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560"/>
        <w:gridCol w:w="1950"/>
        <w:gridCol w:w="1950"/>
        <w:gridCol w:w="1950"/>
        <w:gridCol w:w="1950"/>
      </w:tblGrid>
      <w:tr>
        <w:tc>
          <w:tcPr>
            <w:tcW w:type="dxa" w:w="1560"/>
            <w:shd w:val="clear" w:fill="F2F2F2"/>
          </w:tcPr>
          <w:p>
            <w:r>
              <w:rPr>
                <w:b/>
                <w:sz w:val="18"/>
              </w:rPr>
              <w:t>Lens</w:t>
            </w:r>
          </w:p>
        </w:tc>
        <w:tc>
          <w:tcPr>
            <w:tcW w:type="dxa" w:w="1950"/>
            <w:shd w:val="clear" w:fill="F2F2F2"/>
          </w:tcPr>
          <w:p>
            <w:r>
              <w:rPr>
                <w:b/>
                <w:sz w:val="18"/>
              </w:rPr>
              <w:t>0 (Absent)</w:t>
            </w:r>
          </w:p>
        </w:tc>
        <w:tc>
          <w:tcPr>
            <w:tcW w:type="dxa" w:w="1950"/>
            <w:shd w:val="clear" w:fill="F2F2F2"/>
          </w:tcPr>
          <w:p>
            <w:r>
              <w:rPr>
                <w:b/>
                <w:sz w:val="18"/>
              </w:rPr>
              <w:t>1 (Minimal)</w:t>
            </w:r>
          </w:p>
        </w:tc>
        <w:tc>
          <w:tcPr>
            <w:tcW w:type="dxa" w:w="1950"/>
            <w:shd w:val="clear" w:fill="F2F2F2"/>
          </w:tcPr>
          <w:p>
            <w:r>
              <w:rPr>
                <w:b/>
                <w:sz w:val="18"/>
              </w:rPr>
              <w:t>2 (Partial)</w:t>
            </w:r>
          </w:p>
        </w:tc>
        <w:tc>
          <w:tcPr>
            <w:tcW w:type="dxa" w:w="1950"/>
            <w:shd w:val="clear" w:fill="F2F2F2"/>
          </w:tcPr>
          <w:p>
            <w:r>
              <w:rPr>
                <w:b/>
                <w:sz w:val="18"/>
              </w:rPr>
              <w:t>3 (Exemplary)</w:t>
            </w:r>
          </w:p>
        </w:tc>
        <w:trPr>
          <w:tblHeader/>
        </w:trPr>
      </w:tr>
      <w:tr>
        <w:tc>
          <w:tcPr>
            <w:tcW w:type="dxa" w:w="1560"/>
          </w:tcPr>
          <w:p>
            <w:r>
              <w:rPr>
                <w:sz w:val="18"/>
              </w:rPr>
              <w:t>Kantian Publicity</w:t>
            </w:r>
          </w:p>
        </w:tc>
        <w:tc>
          <w:tcPr>
            <w:tcW w:type="dxa" w:w="1950"/>
          </w:tcPr>
          <w:p>
            <w:r>
              <w:rPr>
                <w:sz w:val="18"/>
              </w:rPr>
              <w:t>No public governance docs</w:t>
            </w:r>
          </w:p>
        </w:tc>
        <w:tc>
          <w:tcPr>
            <w:tcW w:type="dxa" w:w="1950"/>
          </w:tcPr>
          <w:p>
            <w:r>
              <w:rPr>
                <w:sz w:val="18"/>
              </w:rPr>
              <w:t>Rules exist but hard to find</w:t>
            </w:r>
          </w:p>
        </w:tc>
        <w:tc>
          <w:tcPr>
            <w:tcW w:type="dxa" w:w="1950"/>
          </w:tcPr>
          <w:p>
            <w:r>
              <w:rPr>
                <w:sz w:val="18"/>
              </w:rPr>
              <w:t>Public rules + rationale</w:t>
            </w:r>
          </w:p>
        </w:tc>
        <w:tc>
          <w:tcPr>
            <w:tcW w:type="dxa" w:w="1950"/>
          </w:tcPr>
          <w:p>
            <w:r>
              <w:rPr>
                <w:sz w:val="18"/>
              </w:rPr>
              <w:t>Public rules + deliberation + justification</w:t>
            </w:r>
          </w:p>
        </w:tc>
      </w:tr>
      <w:tr>
        <w:tc>
          <w:tcPr>
            <w:tcW w:type="dxa" w:w="1560"/>
          </w:tcPr>
          <w:p>
            <w:r>
              <w:rPr>
                <w:sz w:val="18"/>
              </w:rPr>
              <w:t>Rawlsian Fairness</w:t>
            </w:r>
          </w:p>
        </w:tc>
        <w:tc>
          <w:tcPr>
            <w:tcW w:type="dxa" w:w="1950"/>
          </w:tcPr>
          <w:p>
            <w:r>
              <w:rPr>
                <w:sz w:val="18"/>
              </w:rPr>
              <w:t>No floor-raising mechanism</w:t>
            </w:r>
          </w:p>
        </w:tc>
        <w:tc>
          <w:tcPr>
            <w:tcW w:type="dxa" w:w="1950"/>
          </w:tcPr>
          <w:p>
            <w:r>
              <w:rPr>
                <w:sz w:val="18"/>
              </w:rPr>
              <w:t>Basic airdrop only</w:t>
            </w:r>
          </w:p>
        </w:tc>
        <w:tc>
          <w:tcPr>
            <w:tcW w:type="dxa" w:w="1950"/>
          </w:tcPr>
          <w:p>
            <w:r>
              <w:rPr>
                <w:sz w:val="18"/>
              </w:rPr>
              <w:t>Graduated fee tiers or grants</w:t>
            </w:r>
          </w:p>
        </w:tc>
        <w:tc>
          <w:tcPr>
            <w:tcW w:type="dxa" w:w="1950"/>
          </w:tcPr>
          <w:p>
            <w:r>
              <w:rPr>
                <w:sz w:val="18"/>
              </w:rPr>
              <w:t>Systematic equity mechanisms + measured gaps</w:t>
            </w:r>
          </w:p>
        </w:tc>
      </w:tr>
      <w:tr>
        <w:tc>
          <w:tcPr>
            <w:tcW w:type="dxa" w:w="1560"/>
          </w:tcPr>
          <w:p>
            <w:r>
              <w:rPr>
                <w:sz w:val="18"/>
              </w:rPr>
              <w:t>Pettit Contestation</w:t>
            </w:r>
          </w:p>
        </w:tc>
        <w:tc>
          <w:tcPr>
            <w:tcW w:type="dxa" w:w="1950"/>
          </w:tcPr>
          <w:p>
            <w:r>
              <w:rPr>
                <w:sz w:val="18"/>
              </w:rPr>
              <w:t>No appeals or checks</w:t>
            </w:r>
          </w:p>
        </w:tc>
        <w:tc>
          <w:tcPr>
            <w:tcW w:type="dxa" w:w="1950"/>
          </w:tcPr>
          <w:p>
            <w:r>
              <w:rPr>
                <w:sz w:val="18"/>
              </w:rPr>
              <w:t>Informal complaints possible</w:t>
            </w:r>
          </w:p>
        </w:tc>
        <w:tc>
          <w:tcPr>
            <w:tcW w:type="dxa" w:w="1950"/>
          </w:tcPr>
          <w:p>
            <w:r>
              <w:rPr>
                <w:sz w:val="18"/>
              </w:rPr>
              <w:t>Formal appeal mechanism exists</w:t>
            </w:r>
          </w:p>
        </w:tc>
        <w:tc>
          <w:tcPr>
            <w:tcW w:type="dxa" w:w="1950"/>
          </w:tcPr>
          <w:p>
            <w:r>
              <w:rPr>
                <w:sz w:val="18"/>
              </w:rPr>
              <w:t>Independent arbitration + veto rights</w:t>
            </w:r>
          </w:p>
        </w:tc>
      </w:tr>
      <w:tr>
        <w:tc>
          <w:tcPr>
            <w:tcW w:type="dxa" w:w="1560"/>
          </w:tcPr>
          <w:p>
            <w:r>
              <w:rPr>
                <w:sz w:val="18"/>
              </w:rPr>
              <w:t>Ostrom Polycentricity</w:t>
            </w:r>
          </w:p>
        </w:tc>
        <w:tc>
          <w:tcPr>
            <w:tcW w:type="dxa" w:w="1950"/>
          </w:tcPr>
          <w:p>
            <w:r>
              <w:rPr>
                <w:sz w:val="18"/>
              </w:rPr>
              <w:t>Single decision center</w:t>
            </w:r>
          </w:p>
        </w:tc>
        <w:tc>
          <w:tcPr>
            <w:tcW w:type="dxa" w:w="1950"/>
          </w:tcPr>
          <w:p>
            <w:r>
              <w:rPr>
                <w:sz w:val="18"/>
              </w:rPr>
              <w:t>Advisory subcommittees</w:t>
            </w:r>
          </w:p>
        </w:tc>
        <w:tc>
          <w:tcPr>
            <w:tcW w:type="dxa" w:w="1950"/>
          </w:tcPr>
          <w:p>
            <w:r>
              <w:rPr>
                <w:sz w:val="18"/>
              </w:rPr>
              <w:t>Functional subDAOs with budgets</w:t>
            </w:r>
          </w:p>
        </w:tc>
        <w:tc>
          <w:tcPr>
            <w:tcW w:type="dxa" w:w="1950"/>
          </w:tcPr>
          <w:p>
            <w:r>
              <w:rPr>
                <w:sz w:val="18"/>
              </w:rPr>
              <w:t>Nested governance with local autonomy</w:t>
            </w:r>
          </w:p>
        </w:tc>
      </w:tr>
      <w:tr>
        <w:tc>
          <w:tcPr>
            <w:tcW w:type="dxa" w:w="1560"/>
          </w:tcPr>
          <w:p>
            <w:r>
              <w:rPr>
                <w:sz w:val="18"/>
              </w:rPr>
              <w:t>Hayek Knowledge</w:t>
            </w:r>
          </w:p>
        </w:tc>
        <w:tc>
          <w:tcPr>
            <w:tcW w:type="dxa" w:w="1950"/>
          </w:tcPr>
          <w:p>
            <w:r>
              <w:rPr>
                <w:sz w:val="18"/>
              </w:rPr>
              <w:t>Fixed parameters</w:t>
            </w:r>
          </w:p>
        </w:tc>
        <w:tc>
          <w:tcPr>
            <w:tcW w:type="dxa" w:w="1950"/>
          </w:tcPr>
          <w:p>
            <w:r>
              <w:rPr>
                <w:sz w:val="18"/>
              </w:rPr>
              <w:t>Admin-adjusted parameters</w:t>
            </w:r>
          </w:p>
        </w:tc>
        <w:tc>
          <w:tcPr>
            <w:tcW w:type="dxa" w:w="1950"/>
          </w:tcPr>
          <w:p>
            <w:r>
              <w:rPr>
                <w:sz w:val="18"/>
              </w:rPr>
              <w:t>Automated price signals</w:t>
            </w:r>
          </w:p>
        </w:tc>
        <w:tc>
          <w:tcPr>
            <w:tcW w:type="dxa" w:w="1950"/>
          </w:tcPr>
          <w:p>
            <w:r>
              <w:rPr>
                <w:sz w:val="18"/>
              </w:rPr>
              <w:t>Demand-coupled mechanisms + edge feedback</w:t>
            </w:r>
          </w:p>
        </w:tc>
      </w:tr>
    </w:tbl>
    <w:p>
      <w:r>
        <w:rPr>
          <w:b/>
          <w:i/>
          <w:sz w:val="20"/>
        </w:rPr>
        <w:t xml:space="preserve">Table 1. </w:t>
      </w:r>
      <w:r>
        <w:rPr>
          <w:i/>
          <w:sz w:val="20"/>
        </w:rPr>
        <w:t>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b/>
          <w:i/>
          <w:sz w:val="20"/>
        </w:rPr>
        <w:t xml:space="preserve">Figure 2. </w:t>
      </w:r>
      <w:r>
        <w:rPr>
          <w:i/>
          <w:sz w:val="20"/>
        </w:rPr>
        <w:t>Normative framework architecture: five philosophical lenses are operationalized through a scoring rubric into five testable design hypotheses. Dashed arrow indicates the empirical feedback loop from governance concentration evidence (Section 3) and case evidence developed separately.</w:t>
      </w:r>
      <w:ins w:id="1055" w:author="Zach Zukowski (R1 revision)" w:date="2026-05-10T00:00:00Z">
        <w:r>
          <w:rPr>
            <w:color w:val="0070C0"/>
          </w:rPr>
          <w:t xml:space="preserve"> Reading the figure: each axis represents a separate philosophical lens; protocols satisfying multiple lenses occupy upper-right regions.</w:t>
        </w:r>
      </w:ins>
    </w:p>
    <w:p>
      <w:pPr>
        <w:pStyle w:val="Heading2"/>
      </w:pPr>
      <w:r>
        <w:t xml:space="preserve">2.10 Framework Operationalization</w:t>
      </w:r>
    </w:p>
    <w:p>
      <w:pPr>
        <w:pStyle w:val="Heading3"/>
      </w:pPr>
      <w:r>
        <w:t xml:space="preserve">2.10.1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3"/>
      </w:pPr>
      <w:r>
        <w:t xml:space="preserve">2.10.2 Units of Analysis and Sampling Strategy</w:t>
      </w:r>
    </w:p>
    <w:p>
      <w:pPr>
        <w:pStyle w:val="Normal"/>
        <w:rPr/>
        <w:rPr/>
      </w:pPr>
      <w:ins w:id="1045" w:author="Zach Zukowski (R1 revision)" w:date="2026-05-10T00:00:00Z">
        <w:r>
          <w:t xml:space="preserve">Holder-list cutoff: the top-1,000 holder cutoff follows established convention in the token-governance concentration literature (Sai et al., 2021 use comparable cutoffs across blockchain governance studies). The cutoff captures the holder population materially relevant to governance decisions; long-tail holders below this threshold collectively hold less than five percent of supply across all sample protocols. Robustness across cutoffs is supported by the Top-1%, Top-5%, and Top-10% columns in Table 4: rank-ordering across protocols is preserved at all three cutoffs (Spearman rho &gt; 0.95 between any two columns), indicating that absolute HHI values may shift modestly with deeper-tail inclusion but cross-protocol comparison remains robust to the cutoff choice. For protocols with fewer than 1,000 unique non-zero holders after exclusion (e.g., ZRO with N = 989), the actual holder count is reported; the 1,000-holder cutoff serves as a ceiling rather than a floor.</w:t>
        </w:r>
      </w:ins>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r>
        <w:t xml:space="preserve">2 failed or stagnated protocols included to avoid studying only survivors),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indexer undercounted holders by two orders of magnitude; details are in </w:t>
      </w:r>
      <w:hyperlink r:id="rId23" w:history="1">
        <w:r>
          <w:rPr>
            <w:color w:val="0563C1"/>
            <w:u w:val="single"/>
          </w:rPr>
          <w:t xml:space="preserve">Supplementary File S6</w:t>
        </w:r>
      </w:hyperlink>
      <w:r>
        <w:t xml:space="preserve">.</w:t>
      </w:r>
    </w:p>
    <w:p>
      <w:pPr>
        <w:jc w:val="center"/>
      </w:pPr>
      <w:r>
        <w:rPr/>
        <w:drawing>
          <wp:inline distT="0" distB="0" distL="0" distR="0">
            <wp:extent cx="5029200" cy="5136435"/>
            <wp:effectExtent l="0" t="0" r="0" b="0"/>
            <wp:docPr id="99" name="fig3_hhi_bar"/>
            <wp:cNvGraphicFramePr>
              <a:graphicFrameLocks noChangeAspect="1"/>
            </wp:cNvGraphicFramePr>
            <a:graphic>
              <a:graphicData uri="http://schemas.openxmlformats.org/drawingml/2006/picture">
                <pic:pic>
                  <pic:nvPicPr>
                    <pic:cNvPr id="99" name="fig3_hhi_bar"/>
                    <pic:cNvPicPr/>
                  </pic:nvPicPr>
                  <pic:blipFill>
                    <a:blip r:embed="rId9"/>
                    <a:stretch>
                      <a:fillRect/>
                    </a:stretch>
                  </pic:blipFill>
                  <pic:spPr>
                    <a:xfrm>
                      <a:off x="0" y="0"/>
                      <a:ext cx="5029200" cy="5136435"/>
                    </a:xfrm>
                    <a:prstGeom prst="rect">
                      <a:avLst/>
                    </a:prstGeom>
                  </pic:spPr>
                </pic:pic>
              </a:graphicData>
            </a:graphic>
          </wp:inline>
        </w:drawing>
      </w:r>
    </w:p>
    <w:p>
      <w:r>
        <w:rPr>
          <w:b/>
          <w:i/>
          <w:sz w:val="20"/>
        </w:rPr>
        <w:t xml:space="preserve">Figure 3. </w:t>
      </w:r>
      <w:r>
        <w:rPr>
          <w:i/>
          <w:sz w:val="20"/>
        </w:rPr>
        <w:t>Holding-based Herfindahl-Hirschman Index (HHI) across 40 governance tokens (March 2026 snapshot, top-1,000 holders, protocol-controlled addresses excluded). Dashed lines indicate category means. Protocols sorted by category then HHI ascending.</w:t>
      </w:r>
      <w:ins w:id="1056" w:author="Zach Zukowski (R1 revision)" w:date="2026-05-10T00:00:00Z">
        <w:r>
          <w:rPr>
            <w:color w:val="0070C0"/>
          </w:rPr>
          <w:t xml:space="preserve"> Reading the figure: bars show pre-exclusion HHI; the post-exclusion overlay indicates how much measured concentration was protocol-controlled rather than governance-relevant.</w:t>
        </w:r>
      </w:ins>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0.52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indicating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3"/>
      </w:pPr>
      <w:r>
        <w:t xml:space="preserve">2.10.3 Data Sources (Replicable, Multi-Disciplinary)</w:t>
      </w:r>
    </w:p>
    <w:p>
      <w:r>
        <w:rPr/>
        <w:t xml:space="preserve">Four data streams inform the analysis: on-chain data (Dune Analytics, Helius DAS API), protocol documentation (whitepapers, governance forums, parameter docs), analytic aggregators (Token Terminal, DeFiLlama, CoinGecko), and public academic and policy sources. A systematic data coverage gap between DeFi and DePIN protocols (Token Terminal covers approximately 100% of DeFi but only 25% of DePIN) constrains cross-sector regression analysis. Full source provenance, exclusion methodology, the protocols Token Terminal does not cover, and the resulting partial-data subsets are documented in Supplementary File S6.</w:t>
      </w:r>
    </w:p>
    <w:p>
      <w:pPr>
        <w:pStyle w:val="Heading3"/>
      </w:pPr>
      <w:r>
        <w:t xml:space="preserve">2.10.4 Codebook and Rubric</w:t>
      </w:r>
    </w:p>
    <w:p>
      <w:pPr>
        <w:pStyle w:val="Normal"/>
        <w:rPr/>
        <w:rPr/>
      </w:pPr>
      <w:ins w:id="1044" w:author="Zach Zukowski (R1 revision)" w:date="2026-05-10T00:00:00Z">
        <w:r>
          <w:t xml:space="preserve">Insider taxonomy: the analysis distinguishes two related but distinct constructs. Insider allocation (insider_pct) is the regression covariate measured at token generation event (TGE), defined as team_pct + investor_pct from primary tokenomics sources. Insider count fraction in top-10 holders is a descriptive mechanism variable measured post-distribution from holder snapshots, defined as the post-exclusion fraction of wallets in the top-10 classified as insider via a three-tier procedure: Tier 1 uses Blockscout verified-contract labels and Dune exchange tags; Tier 2 uses contract bytecode matching for SafeProxy, GnosisSafe, and vesting contracts; Tier 3 uses Etherscan named-address matching against documented foundation, treasury, and team wallets. Protocol-controlled addresses (PCAs) are excluded from holding HHI computation entirely at the top of the pipeline (69 addresses across 20 protocols documented in exclusions_log.csv) and are not counted as insiders for the purposes of the count fraction. Solana-native protocols carry an acknowledged labeling gap: io.net classifies as zero of ten insiders because Solana lacks Blockscout-style contract labels at the scale available on Ethereum and EVM L2s. This is a classification limitation rather than evidence of distributed governance and is flagged in the section 4.8 limitations.</w:t>
        </w:r>
      </w:ins>
    </w:p>
    <w:p>
      <w:r>
        <w:t xml:space="preserve">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plus computed philosophy lens scores (0–3) and evidence links. Full field definitions and the codebook schema are documented in </w:t>
      </w:r>
      <w:hyperlink r:id="rId18" w:history="1">
        <w:r>
          <w:rPr>
            <w:color w:val="0563C1"/>
            <w:u w:val="single"/>
          </w:rPr>
          <w:t xml:space="preserve">Supplementary File S1</w:t>
        </w:r>
      </w:hyperlink>
      <w:r>
        <w:t xml:space="preserve">.</w:t>
      </w:r>
    </w:p>
    <w:p>
      <w:pPr>
        <w:pStyle w:val="Heading3"/>
      </w:pPr>
      <w:r>
        <w:t xml:space="preserve">2.10.5 Philosophy Scoring Rubric: Translating Normative Theory into Observable Criteria</w:t>
      </w:r>
    </w:p>
    <w:p>
      <w:r>
        <w:t xml:space="preserve">The scoring rubric is a second machine-readable table (</w:t>
      </w:r>
      <w:hyperlink r:id="rId19" w:history="1">
        <w:r>
          <w:rPr>
            <w:color w:val="0563C1"/>
            <w:u w:val="single"/>
          </w:rPr>
          <w:t xml:space="preserve">Supplementary File S2</w:t>
        </w:r>
      </w:hyperlink>
      <w:r>
        <w:t xml:space="preserve">) capturing lens_id, criterion_id, criterion definitions, a 0–3 scoring scale per criterion, and default weights; a third table (Supplementary File S3) stores protocol × criterion scores with evidence links, scorer initials, and dates. Each protocol is scored by gathering evidence (documentation, forum threads, code references), assigning 0–3 to each criterion, computing each lens score as a weighted mean, and aggregating into a Synergy Index across lenses with pre-specified weights.</w:t>
      </w:r>
    </w:p>
    <w:p>
      <w:r>
        <w:t>Reliability is established by double-coding at least 10% of protocols to estimate inter-rater agreement (Cohen’s κ), with adjudication rules where κ is low; construct validity is established by comparing rubric scores to independent indicators including governance concentration, frequency of rule changes, and appeals outcomes. The operationalization is designed to be legible across disciplines, mapping political-philosophical criteria to measurable institutional features (appeals, publicity, concentration) and enabling empirical tests.</w:t>
      </w:r>
    </w:p>
    <w:p>
      <w:r>
        <w:t xml:space="preserve">Table 2 demonstrates the rubric applied to three protocols spanning the DeFi–DePIN divide; full scoring sheets for all 12 scored protocols, with evidence links, are provided in </w:t>
      </w:r>
      <w:hyperlink r:id="rId20" w:history="1">
        <w:r>
          <w:rPr>
            <w:color w:val="0563C1"/>
            <w:u w:val="single"/>
          </w:rPr>
          <w:t xml:space="preserve">Supplementary File S3</w:t>
        </w:r>
      </w:hyperlink>
      <w:r>
        <w:t xml:space="preserve">. Scores are assigned by a single coder; inter-rater reliability testing with a second scorer is specified as future work.</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200"/>
        <w:gridCol w:w="1080"/>
        <w:gridCol w:w="1080"/>
        <w:gridCol w:w="1200"/>
        <w:gridCol w:w="1200"/>
        <w:gridCol w:w="1260"/>
        <w:gridCol w:w="2340"/>
      </w:tblGrid>
      <w:tr>
        <w:tc>
          <w:tcPr>
            <w:tcW w:type="dxa" w:w="1200"/>
            <w:shd w:val="clear" w:fill="F2F2F2"/>
          </w:tcPr>
          <w:p>
            <w:r>
              <w:rPr>
                <w:b/>
                <w:sz w:val="18"/>
              </w:rPr>
              <w:t>Protocol</w:t>
            </w:r>
          </w:p>
        </w:tc>
        <w:tc>
          <w:tcPr>
            <w:tcW w:type="dxa" w:w="1080"/>
            <w:shd w:val="clear" w:fill="F2F2F2"/>
          </w:tcPr>
          <w:p>
            <w:r>
              <w:rPr>
                <w:b/>
                <w:sz w:val="18"/>
              </w:rPr>
              <w:t>Publicity</w:t>
            </w:r>
          </w:p>
        </w:tc>
        <w:tc>
          <w:tcPr>
            <w:tcW w:type="dxa" w:w="1080"/>
            <w:shd w:val="clear" w:fill="F2F2F2"/>
          </w:tcPr>
          <w:p>
            <w:r>
              <w:rPr>
                <w:b/>
                <w:sz w:val="18"/>
              </w:rPr>
              <w:t>Fairness</w:t>
            </w:r>
          </w:p>
        </w:tc>
        <w:tc>
          <w:tcPr>
            <w:tcW w:type="dxa" w:w="1200"/>
            <w:shd w:val="clear" w:fill="F2F2F2"/>
          </w:tcPr>
          <w:p>
            <w:r>
              <w:rPr>
                <w:b/>
                <w:sz w:val="18"/>
              </w:rPr>
              <w:t xml:space="preserve">Non-Dom.</w:t>
            </w:r>
          </w:p>
        </w:tc>
        <w:tc>
          <w:tcPr>
            <w:tcW w:type="dxa" w:w="1200"/>
            <w:shd w:val="clear" w:fill="F2F2F2"/>
          </w:tcPr>
          <w:p>
            <w:r>
              <w:rPr>
                <w:b/>
                <w:sz w:val="18"/>
              </w:rPr>
              <w:t>Polycentric</w:t>
            </w:r>
          </w:p>
        </w:tc>
        <w:tc>
          <w:tcPr>
            <w:tcW w:type="dxa" w:w="1260"/>
            <w:noWrap/>
            <w:shd w:val="clear" w:fill="F2F2F2"/>
          </w:tcPr>
          <w:p>
            <w:r>
              <w:rPr>
                <w:b/>
                <w:sz w:val="18"/>
              </w:rPr>
              <w:t>Knowledge</w:t>
            </w:r>
          </w:p>
        </w:tc>
        <w:tc>
          <w:tcPr>
            <w:tcW w:type="dxa" w:w="2340"/>
            <w:shd w:val="clear" w:fill="F2F2F2"/>
          </w:tcPr>
          <w:p>
            <w:r>
              <w:rPr>
                <w:b/>
                <w:sz w:val="18"/>
              </w:rPr>
              <w:t>Key evidence note</w:t>
            </w:r>
          </w:p>
        </w:tc>
        <w:trPr>
          <w:tblHeader/>
        </w:trPr>
      </w:tr>
      <w:tr>
        <w:trPr>
          <w:cantSplit/>
        </w:trPr>
        <w:tc>
          <w:tcPr>
            <w:tcW w:type="dxa" w:w="12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2340"/>
          </w:tcPr>
          <w:p>
            <w:r>
              <w:rPr>
                <w:sz w:val="18"/>
              </w:rPr>
              <w:t>Forum + Snapshot + on-chain vote; HHI 0.114; delegate concentration high</w:t>
            </w:r>
          </w:p>
        </w:tc>
      </w:tr>
      <w:tr>
        <w:trPr>
          <w:cantSplit/>
        </w:trPr>
        <w:tc>
          <w:tcPr>
            <w:tcW w:type="dxa" w:w="1200"/>
          </w:tcPr>
          <w:p>
            <w:r>
              <w:rPr>
                <w:sz w:val="18"/>
              </w:rPr>
              <w:t>Hyperliquid (DeFi)</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0</w:t>
            </w:r>
          </w:p>
        </w:tc>
        <w:tc>
          <w:tcPr>
            <w:tcW w:type="dxa" w:w="1080"/>
          </w:tcPr>
          <w:p>
            <w:r>
              <w:rPr>
                <w:sz w:val="18"/>
              </w:rPr>
              <w:t>2</w:t>
            </w:r>
          </w:p>
        </w:tc>
        <w:tc>
          <w:tcPr>
            <w:tcW w:type="dxa" w:w="2340"/>
          </w:tcPr>
          <w:p>
            <w:r>
              <w:rPr>
                <w:sz w:val="18"/>
              </w:rPr>
              <w:t>Zero VC + 31% airdrop; HHI 0.005; Assistance Fund auto-burns 97% of fees</w:t>
            </w:r>
          </w:p>
        </w:tc>
      </w:tr>
      <w:tr>
        <w:trPr>
          <w:cantSplit/>
        </w:trPr>
        <w:tc>
          <w:tcPr>
            <w:tcW w:type="dxa" w:w="12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3</w:t>
            </w:r>
          </w:p>
        </w:tc>
        <w:tc>
          <w:tcPr>
            <w:tcW w:type="dxa" w:w="1080"/>
          </w:tcPr>
          <w:p>
            <w:r>
              <w:rPr>
                <w:sz w:val="18"/>
              </w:rPr>
              <w:t>3</w:t>
            </w:r>
          </w:p>
        </w:tc>
        <w:tc>
          <w:tcPr>
            <w:tcW w:type="dxa" w:w="2340"/>
          </w:tcPr>
          <w:p>
            <w:r>
              <w:rPr>
                <w:sz w:val="18"/>
              </w:rPr>
              <w:t>Helium Improvement Proposal (HIP) process public; subDAO structure; HHI 0.102; HIP-147 reform</w:t>
            </w:r>
          </w:p>
        </w:tc>
      </w:tr>
      <w:tr>
        <w:trPr>
          <w:cantSplit/>
        </w:trPr>
        <w:tc>
          <w:tcPr>
            <w:tcW w:type="dxa" w:w="1200"/>
          </w:tcPr>
          <w:p>
            <w:r>
              <w:rPr>
                <w:sz w:val="18"/>
              </w:rPr>
              <w:t>GEODNET (DePIN)</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2</w:t>
            </w:r>
          </w:p>
        </w:tc>
        <w:tc>
          <w:tcPr>
            <w:tcW w:type="dxa" w:w="2340"/>
          </w:tcPr>
          <w:p>
            <w:r>
              <w:rPr>
                <w:sz w:val="18"/>
              </w:rPr>
              <w:t>B2B subscription-burn (Real-Time Kinematic GPS service); HHI 0.132; Snapshot DAO; demand-coupled</w:t>
            </w:r>
          </w:p>
        </w:tc>
      </w:tr>
      <w:tr>
        <w:trPr>
          <w:cantSplit/>
        </w:trPr>
        <w:tc>
          <w:tcPr>
            <w:tcW w:type="dxa" w:w="12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2340"/>
          </w:tcPr>
          <w:p>
            <w:r>
              <w:rPr>
                <w:sz w:val="18"/>
              </w:rPr>
              <w:t>Low HHI (0.040); early-stage governance; limited formal process</w:t>
            </w:r>
          </w:p>
        </w:tc>
      </w:tr>
    </w:tbl>
    <w:p>
      <w:r>
        <w:rPr>
          <w:b/>
          <w:i/>
          <w:sz w:val="20"/>
        </w:rPr>
        <w:t xml:space="preserve">Table 2. </w:t>
      </w:r>
      <w:r>
        <w:rPr>
          <w:i/>
          <w:sz w:val="20"/>
        </w:rPr>
        <w:t xml:space="preserve">Illustrative rubric scores (0 = absent, 1 = minimal, 2 = partial, 3 = exemplary). Scores are by a single coder; full evidence sheets in </w:t>
      </w:r>
      <w:hyperlink r:id="rId20" w:history="1">
        <w:r>
          <w:rPr>
            <w:color w:val="0563C1"/>
            <w:u w:val="single"/>
          </w:rPr>
          <w:t xml:space="preserve">Supplementary File S3</w:t>
        </w:r>
      </w:hyperlink>
      <w:r>
        <w:rPr>
          <w:i/>
          <w:sz w:val="20"/>
        </w:rPr>
        <w:t xml:space="preserve">. Columns: Publicity (Kantian; transparent rules with published rationales), Fairness (Rawlsian; floor protection in distribution), Non-Dom. (Pettit; formal contestability infrastructure protecting from arbitrary interference, scored independently of holding concentration), Polycentric (Ostrom; multiple overlapping decision centers), Knowledge (Hayek; reliance on dispersed local knowledge in operations).</w:t>
      </w:r>
    </w:p>
    <w:p>
      <w:pPr>
        <w:pStyle w:val="Heading3"/>
      </w:pPr>
      <w:r>
        <w:t xml:space="preserve">2.10.6 Outcome Variables</w:t>
      </w:r>
    </w:p>
    <w:p>
      <w:r>
        <w:rPr>
          <w:b w:val="0"/>
        </w:rPr>
        <w:t>Three primary metrics are used. The Herfindahl-Hirschman Index (HHI), ranging from 0 (dispersed) to 1 (monopoly), measures overall token concentration; values above 0.25 indicate high concentration by antitrust standards. Section 3.3 notes no protocol exceeds this threshold. The Gini coefficient captures distributional inequality. Top-N ratios (Top-1, Top-5, Top-10 share) complement HHI by identifying specific whale addresses.</w:t>
      </w:r>
    </w:p>
    <w:p>
      <w:r>
        <w:rPr>
          <w:b w:val="0"/>
        </w:rPr>
        <w:t>The Synergy Index (mean of five lens scores: Kantian publicity, Rawlsian fairness, republican non-domination, Ostromian polycentricity, Hayekian knowledge-use; each 0–3 per Table 1) measures institutional design intent across normative traditions. Three dimensions from the literature review (capabilities, contextual integrity, cosmopolitan inclusion) are reserved for future evaluation due to non-comparable cross-protocol measurement.</w:t>
      </w:r>
    </w:p>
    <w:p>
      <w:r>
        <w:rPr>
          <w:b w:val="0"/>
        </w:rPr>
        <w:t xml:space="preserve">Full metric definitions, computation procedures, and Dune query specifications are provided in </w:t>
      </w:r>
      <w:hyperlink r:id="rId18" w:history="1">
        <w:r>
          <w:rPr>
            <w:color w:val="0563C1"/>
            <w:u w:val="single"/>
          </w:rPr>
          <w:t xml:space="preserve">Supplementary File S1</w:t>
        </w:r>
      </w:hyperlink>
      <w:r>
        <w:rPr>
          <w:b w:val="0"/>
        </w:rPr>
        <w:t xml:space="preserve">.</w:t>
      </w:r>
    </w:p>
    <w:p>
      <w:pPr>
        <w:pStyle w:val="Heading3"/>
      </w:pPr>
      <w:r>
        <w:t xml:space="preserve">2.10.7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3). The full quantitative pipeline, including panel regressions, event-study specifications, and robustness protocols, is documented in supplementary material (</w:t>
      </w:r>
      <w:hyperlink r:id="rId22" w:history="1">
        <w:r>
          <w:rPr>
            <w:color w:val="0563C1"/>
            <w:u w:val="single"/>
          </w:rPr>
          <w:t xml:space="preserve">Supplementary File S5</w:t>
        </w:r>
      </w:hyperlink>
      <w:r>
        <w:t xml:space="preserve">) for replication and extension by future researchers.</w:t>
      </w:r>
    </w:p>
    <w:p>
      <w:pPr>
        <w:pStyle w:val="Heading3"/>
      </w:pPr>
      <w:r>
        <w:t xml:space="preserve">2.10.8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is employed by Borderless Capital, a cryptocurrency-focused investment firm, and may hold or have held positions in some protocols analyzed; a complete disclosure is provided in the Conflict of Interest statement accompanying this submission.</w:t>
      </w:r>
    </w:p>
    <w:p>
      <w:pPr>
        <w:pStyle w:val="Heading1"/>
      </w:pPr>
      <w:r>
        <w:t xml:space="preserve">3 Results</w:t>
      </w:r>
    </w:p>
    <w:p>
      <w:pPr>
        <w:pStyle w:val="Heading2"/>
      </w:pPr>
      <w:r>
        <w:t xml:space="preserve">3.1 Scope and Claims Boundary</w:t>
      </w:r>
    </w:p>
    <w:p>
      <w:r>
        <w:rPr>
          <w:b w:val="0"/>
        </w:rPr>
        <w:t>The cross-section covers 40 protocols across four sectors (DePIN, DeFi, infrastructure, social). Table 3 delimits the claims boundary: all findings are descriptive within the observed scope.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2.10).</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120"/>
        <w:gridCol w:w="3120"/>
        <w:gridCol w:w="3120"/>
      </w:tblGrid>
      <w:tr>
        <w:tc>
          <w:tcPr>
            <w:tcW w:type="dxa" w:w="3120"/>
            <w:shd w:val="clear" w:fill="F2F2F2"/>
          </w:tcPr>
          <w:p>
            <w:r>
              <w:rPr>
                <w:b/>
                <w:sz w:val="18"/>
              </w:rPr>
              <w:t>Claim</w:t>
            </w:r>
          </w:p>
        </w:tc>
        <w:tc>
          <w:tcPr>
            <w:tcW w:type="dxa" w:w="3120"/>
            <w:shd w:val="clear" w:fill="F2F2F2"/>
          </w:tcPr>
          <w:p>
            <w:r>
              <w:rPr>
                <w:b/>
                <w:sz w:val="18"/>
              </w:rPr>
              <w:t>Evidence Grade</w:t>
            </w:r>
          </w:p>
        </w:tc>
        <w:tc>
          <w:tcPr>
            <w:tcW w:type="dxa" w:w="3120"/>
            <w:shd w:val="clear" w:fill="F2F2F2"/>
          </w:tcPr>
          <w:p>
            <w:r>
              <w:rPr>
                <w:b/>
                <w:sz w:val="18"/>
              </w:rPr>
              <w:t>Pointer</w:t>
            </w:r>
          </w:p>
        </w:tc>
      </w:tr>
      <w:tr>
        <w:tc>
          <w:tcPr>
            <w:tcW w:type="dxa" w:w="3120"/>
          </w:tcPr>
          <w:p>
            <w:r>
              <w:rPr>
                <w:sz w:val="18"/>
              </w:rPr>
              <w:t>Governance concentration is descriptively higher in DePIN than DeFi</w:t>
            </w:r>
          </w:p>
        </w:tc>
        <w:tc>
          <w:tcPr>
            <w:tcW w:type="dxa" w:w="3120"/>
          </w:tcPr>
          <w:p>
            <w:r>
              <w:rPr>
                <w:sz w:val="18"/>
              </w:rPr>
              <w:t>Descriptive</w:t>
            </w:r>
          </w:p>
        </w:tc>
        <w:tc>
          <w:tcPr>
            <w:tcW w:type="dxa" w:w="3120"/>
          </w:tcPr>
          <w:p>
            <w:r>
              <w:rPr>
                <w:sz w:val="18"/>
              </w:rPr>
              <w:t>Table 4</w:t>
            </w:r>
          </w:p>
        </w:tc>
      </w:tr>
      <w:tr>
        <w:tc>
          <w:tcPr>
            <w:tcW w:type="dxa" w:w="3120"/>
          </w:tcPr>
          <w:p>
            <w:r>
              <w:rPr>
                <w:sz w:val="18"/>
              </w:rPr>
              <w:t>The scoring rubric translates philosophy into measurement</w:t>
            </w:r>
          </w:p>
        </w:tc>
        <w:tc>
          <w:tcPr>
            <w:tcW w:type="dxa" w:w="3120"/>
          </w:tcPr>
          <w:p>
            <w:r>
              <w:rPr>
                <w:sz w:val="18"/>
              </w:rPr>
              <w:t>Methodological</w:t>
            </w:r>
          </w:p>
        </w:tc>
        <w:tc>
          <w:tcPr>
            <w:tcW w:type="dxa" w:w="3120"/>
          </w:tcPr>
          <w:p>
            <w:r>
              <w:rPr>
                <w:sz w:val="18"/>
              </w:rPr>
              <w:t xml:space="preserve">Table 1 + </w:t>
            </w:r>
            <w:hyperlink r:id="rId18" w:history="1">
              <w:r>
                <w:rPr>
                  <w:color w:val="0563C1"/>
                  <w:u w:val="single"/>
                </w:rPr>
                <w:t xml:space="preserve">Supplementary File S1</w:t>
              </w:r>
            </w:hyperlink>
          </w:p>
        </w:tc>
      </w:tr>
      <w:tr>
        <w:tc>
          <w:tcPr>
            <w:tcW w:type="dxa" w:w="3120"/>
          </w:tcPr>
          <w:p>
            <w:r>
              <w:rPr>
                <w:sz w:val="18"/>
              </w:rPr>
              <w:t>Five core design hypotheses follow from the normative framework</w:t>
            </w:r>
          </w:p>
        </w:tc>
        <w:tc>
          <w:tcPr>
            <w:tcW w:type="dxa" w:w="3120"/>
          </w:tcPr>
          <w:p>
            <w:r>
              <w:rPr>
                <w:sz w:val="18"/>
              </w:rPr>
              <w:t>Theoretical</w:t>
            </w:r>
          </w:p>
        </w:tc>
        <w:tc>
          <w:tcPr>
            <w:tcW w:type="dxa" w:w="3120"/>
          </w:tcPr>
          <w:p>
            <w:r>
              <w:rPr>
                <w:sz w:val="18"/>
              </w:rPr>
              <w:t>Section 4.1</w:t>
            </w:r>
          </w:p>
        </w:tc>
      </w:tr>
    </w:tbl>
    <w:p>
      <w:r>
        <w:rPr>
          <w:b/>
          <w:i/>
          <w:sz w:val="20"/>
        </w:rPr>
        <w:t xml:space="preserve">Table 3. </w:t>
      </w:r>
      <w:r>
        <w:rPr>
          <w:i/>
          <w:sz w:val="20"/>
        </w:rPr>
        <w:t>Claims boundary: what this paper does and does not claim.</w:t>
      </w:r>
    </w:p>
    <w:p>
      <w:pPr>
        <w:pStyle w:val="Heading2"/>
      </w:pPr>
      <w:r>
        <w:t xml:space="preserve">3.2 Cross-Protocol Concentration</w:t>
      </w:r>
    </w:p>
    <w:p>
      <w:pPr>
        <w:pStyle w:val="Normal"/>
        <w:rPr/>
        <w:rPr/>
      </w:pPr>
      <w:ins w:id="1046" w:author="Zach Zukowski (R1 revision)" w:date="2026-05-10T00:00:00Z">
        <w:r>
          <w:t xml:space="preserve">A measurement caveat: the 0.25 HHI antitrust threshold is borrowed from market-concentration analysis (DOJ Horizontal Merger Guidelines) and is reported here as a benchmark for descriptive interpretation only. A market-concentration threshold is not equivalent to a democratic-legitimacy threshold; a protocol may have HHI below 0.25 while remaining politically dominated through quorum rules, delegation patterns, or proposal-rights concentration. The HHI captures one dimension of concentration (post-exclusion holding distribution) and is not a sufficient condition for distributed governance.</w:t>
        </w:r>
      </w:ins>
    </w:p>
    <w:p>
      <w:r>
        <w:rPr>
          <w:b w:val="0"/>
        </w:rPr>
        <w:t>Governance concentration spans two orders of magnitude across the 40-protocol sample (Table 4): HHI ranges from 0.005 (Hyperliquid) to 0.199 (Livepeer), with a median near 0.04. DePIN protocols cluster in the upper half of this distribution. Livepeer is the clearest structural outlier; excluding it leaves a distribution in which DePIN still exhibits higher concentration than DeFi but without a dominant leverage point.</w:t>
      </w:r>
    </w:p>
    <w:p>
      <w:r>
        <w:rPr>
          <w:b w:val="0"/>
        </w:rPr>
        <w:t xml:space="preserve">Concentration metrics are computed from Dune Analytics multi-chain queries and the Helius DAS API for Solana SPL tokens (March 2026 snapshot, top-1000 holders per protocol), after excluding 69 protocol-controlled addresses across 20 protocols (staking contracts, exchange custodians, vesting locks, protocol treasuries; see </w:t>
      </w:r>
      <w:hyperlink r:id="rId23" w:history="1">
        <w:r>
          <w:rPr>
            <w:color w:val="0563C1"/>
            <w:u w:val="single"/>
          </w:rPr>
          <w:t xml:space="preserve">Supplementary File S6</w:t>
        </w:r>
      </w:hyperlink>
      <w:r>
        <w:rPr>
          <w:b w:val="0"/>
        </w:rPr>
        <w:t xml:space="preserve">). Solana-native tokens use getTokenAccounts with page-based pagination to correct systematic undercounting in Dune’s indexed tables. Replication scripts and input CSVs are listed in Supplementary File S5.</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620"/>
        <w:gridCol w:w="1200"/>
        <w:gridCol w:w="1080"/>
        <w:gridCol w:w="960"/>
        <w:gridCol w:w="960"/>
        <w:gridCol w:w="960"/>
        <w:gridCol w:w="1080"/>
        <w:gridCol w:w="1500"/>
      </w:tblGrid>
      <w:tr>
        <w:tc>
          <w:tcPr>
            <w:tcW w:type="dxa" w:w="1620"/>
            <w:shd w:val="clear" w:fill="F2F2F2"/>
          </w:tcPr>
          <w:p>
            <w:r>
              <w:rPr>
                <w:sz w:val="18"/>
              </w:rPr>
              <w:t>Protocol</w:t>
            </w:r>
          </w:p>
        </w:tc>
        <w:tc>
          <w:tcPr>
            <w:tcW w:type="dxa" w:w="1200"/>
            <w:shd w:val="clear" w:fill="F2F2F2"/>
          </w:tcPr>
          <w:p>
            <w:r>
              <w:rPr>
                <w:sz w:val="18"/>
              </w:rPr>
              <w:t>Token</w:t>
            </w:r>
          </w:p>
        </w:tc>
        <w:tc>
          <w:tcPr>
            <w:tcW w:type="dxa" w:w="1080"/>
            <w:shd w:val="clear" w:fill="F2F2F2"/>
          </w:tcPr>
          <w:p>
            <w:r>
              <w:rPr>
                <w:sz w:val="18"/>
              </w:rPr>
              <w:t>Category</w:t>
            </w:r>
          </w:p>
        </w:tc>
        <w:tc>
          <w:tcPr>
            <w:tcW w:type="dxa" w:w="960"/>
            <w:shd w:val="clear" w:fill="F2F2F2"/>
          </w:tcPr>
          <w:p>
            <w:r>
              <w:rPr>
                <w:sz w:val="18"/>
              </w:rPr>
              <w:t>HHI</w:t>
            </w:r>
          </w:p>
        </w:tc>
        <w:tc>
          <w:tcPr>
            <w:tcW w:type="dxa" w:w="960"/>
            <w:shd w:val="clear" w:fill="F2F2F2"/>
          </w:tcPr>
          <w:p>
            <w:r>
              <w:rPr>
                <w:sz w:val="18"/>
              </w:rPr>
              <w:t>Gini</w:t>
            </w:r>
          </w:p>
        </w:tc>
        <w:tc>
          <w:tcPr>
            <w:tcW w:type="dxa" w:w="960"/>
            <w:shd w:val="clear" w:fill="F2F2F2"/>
          </w:tcPr>
          <w:p>
            <w:r>
              <w:rPr>
                <w:sz w:val="18"/>
              </w:rPr>
              <w:t>Top-1%</w:t>
            </w:r>
          </w:p>
        </w:tc>
        <w:tc>
          <w:tcPr>
            <w:tcW w:type="dxa" w:w="1080"/>
            <w:noWrap/>
            <w:shd w:val="clear" w:fill="F2F2F2"/>
          </w:tcPr>
          <w:p>
            <w:r>
              <w:rPr>
                <w:sz w:val="18"/>
              </w:rPr>
              <w:t>Top-10%</w:t>
            </w:r>
          </w:p>
        </w:tc>
        <w:tc>
          <w:tcPr>
            <w:tcW w:type="dxa" w:w="1500"/>
            <w:shd w:val="clear" w:fill="F2F2F2"/>
          </w:tcPr>
          <w:p>
            <w:r>
              <w:rPr>
                <w:sz w:val="18"/>
              </w:rPr>
              <w:t>N</w:t>
            </w:r>
          </w:p>
        </w:tc>
        <w:trPr>
          <w:tblHeader/>
        </w:trPr>
      </w:tr>
      <w:tr>
        <w:tc>
          <w:tcPr>
            <w:tcW w:type="dxa" w:w="1620"/>
          </w:tcPr>
          <w:p>
            <w:r>
              <w:rPr>
                <w:sz w:val="18"/>
              </w:rPr>
              <w:t>Morpheus AI</w:t>
            </w:r>
          </w:p>
        </w:tc>
        <w:tc>
          <w:tcPr>
            <w:tcW w:type="dxa" w:w="1200"/>
          </w:tcPr>
          <w:p>
            <w:r>
              <w:rPr>
                <w:sz w:val="18"/>
              </w:rPr>
              <w:t>MOR</w:t>
            </w:r>
          </w:p>
        </w:tc>
        <w:tc>
          <w:tcPr>
            <w:tcW w:type="dxa" w:w="1080"/>
          </w:tcPr>
          <w:p>
            <w:r>
              <w:rPr>
                <w:sz w:val="18"/>
              </w:rPr>
              <w:t>DePIN</w:t>
            </w:r>
          </w:p>
        </w:tc>
        <w:tc>
          <w:tcPr>
            <w:tcW w:type="dxa" w:w="960"/>
          </w:tcPr>
          <w:p>
            <w:r>
              <w:rPr>
                <w:sz w:val="18"/>
              </w:rPr>
              <w:t>0.0310</w:t>
            </w:r>
          </w:p>
        </w:tc>
        <w:tc>
          <w:tcPr>
            <w:tcW w:type="dxa" w:w="960"/>
          </w:tcPr>
          <w:p>
            <w:r>
              <w:rPr>
                <w:sz w:val="18"/>
              </w:rPr>
              <w:t>0.88</w:t>
            </w:r>
          </w:p>
        </w:tc>
        <w:tc>
          <w:tcPr>
            <w:tcW w:type="dxa" w:w="960"/>
          </w:tcPr>
          <w:p>
            <w:r>
              <w:rPr>
                <w:sz w:val="18"/>
              </w:rPr>
              <w:t>11.4%</w:t>
            </w:r>
          </w:p>
        </w:tc>
        <w:tc>
          <w:tcPr>
            <w:tcW w:type="dxa" w:w="1080"/>
          </w:tcPr>
          <w:p>
            <w:r>
              <w:rPr>
                <w:sz w:val="18"/>
              </w:rPr>
              <w:t>43.3%</w:t>
            </w:r>
          </w:p>
        </w:tc>
        <w:tc>
          <w:tcPr>
            <w:tcW w:type="dxa" w:w="1500"/>
          </w:tcPr>
          <w:p>
            <w:r>
              <w:rPr>
                <w:sz w:val="18"/>
              </w:rPr>
              <w:t>994</w:t>
            </w:r>
          </w:p>
        </w:tc>
      </w:tr>
      <w:tr>
        <w:tc>
          <w:tcPr>
            <w:tcW w:type="dxa" w:w="1620"/>
          </w:tcPr>
          <w:p>
            <w:r>
              <w:rPr>
                <w:sz w:val="18"/>
              </w:rPr>
              <w:t>Render</w:t>
            </w:r>
          </w:p>
        </w:tc>
        <w:tc>
          <w:tcPr>
            <w:tcW w:type="dxa" w:w="1200"/>
          </w:tcPr>
          <w:p>
            <w:r>
              <w:rPr>
                <w:sz w:val="18"/>
              </w:rPr>
              <w:t>RENDER</w:t>
            </w:r>
          </w:p>
        </w:tc>
        <w:tc>
          <w:tcPr>
            <w:tcW w:type="dxa" w:w="1080"/>
          </w:tcPr>
          <w:p>
            <w:r>
              <w:rPr>
                <w:sz w:val="18"/>
              </w:rPr>
              <w:t>DePIN</w:t>
            </w:r>
          </w:p>
        </w:tc>
        <w:tc>
          <w:tcPr>
            <w:tcW w:type="dxa" w:w="960"/>
          </w:tcPr>
          <w:p>
            <w:r>
              <w:rPr>
                <w:sz w:val="18"/>
              </w:rPr>
              <w:t>0.0323</w:t>
            </w:r>
          </w:p>
        </w:tc>
        <w:tc>
          <w:tcPr>
            <w:tcW w:type="dxa" w:w="960"/>
          </w:tcPr>
          <w:p>
            <w:r>
              <w:rPr>
                <w:sz w:val="18"/>
              </w:rPr>
              <w:t>0.89</w:t>
            </w:r>
          </w:p>
        </w:tc>
        <w:tc>
          <w:tcPr>
            <w:tcW w:type="dxa" w:w="960"/>
          </w:tcPr>
          <w:p>
            <w:r>
              <w:rPr>
                <w:sz w:val="18"/>
              </w:rPr>
              <w:t>10.4%</w:t>
            </w:r>
          </w:p>
        </w:tc>
        <w:tc>
          <w:tcPr>
            <w:tcW w:type="dxa" w:w="1080"/>
          </w:tcPr>
          <w:p>
            <w:r>
              <w:rPr>
                <w:sz w:val="18"/>
              </w:rPr>
              <w:t>47.0%</w:t>
            </w:r>
          </w:p>
        </w:tc>
        <w:tc>
          <w:tcPr>
            <w:tcW w:type="dxa" w:w="1500"/>
          </w:tcPr>
          <w:p>
            <w:r>
              <w:rPr>
                <w:sz w:val="18"/>
              </w:rPr>
              <w:t>1000</w:t>
            </w:r>
          </w:p>
        </w:tc>
      </w:tr>
      <w:tr>
        <w:tc>
          <w:tcPr>
            <w:tcW w:type="dxa" w:w="1620"/>
          </w:tcPr>
          <w:p>
            <w:r>
              <w:rPr>
                <w:sz w:val="18"/>
              </w:rPr>
              <w:t>Grass</w:t>
            </w:r>
          </w:p>
        </w:tc>
        <w:tc>
          <w:tcPr>
            <w:tcW w:type="dxa" w:w="1200"/>
          </w:tcPr>
          <w:p>
            <w:r>
              <w:rPr>
                <w:sz w:val="18"/>
              </w:rPr>
              <w:t>GRASS</w:t>
            </w:r>
          </w:p>
        </w:tc>
        <w:tc>
          <w:tcPr>
            <w:tcW w:type="dxa" w:w="1080"/>
          </w:tcPr>
          <w:p>
            <w:r>
              <w:rPr>
                <w:sz w:val="18"/>
              </w:rPr>
              <w:t>DePIN</w:t>
            </w:r>
          </w:p>
        </w:tc>
        <w:tc>
          <w:tcPr>
            <w:tcW w:type="dxa" w:w="960"/>
          </w:tcPr>
          <w:p>
            <w:r>
              <w:rPr>
                <w:sz w:val="18"/>
              </w:rPr>
              <w:t>0.0352</w:t>
            </w:r>
          </w:p>
        </w:tc>
        <w:tc>
          <w:tcPr>
            <w:tcW w:type="dxa" w:w="960"/>
          </w:tcPr>
          <w:p>
            <w:r>
              <w:rPr>
                <w:sz w:val="18"/>
              </w:rPr>
              <w:t>0.76</w:t>
            </w:r>
          </w:p>
        </w:tc>
        <w:tc>
          <w:tcPr>
            <w:tcW w:type="dxa" w:w="960"/>
          </w:tcPr>
          <w:p>
            <w:r>
              <w:rPr>
                <w:sz w:val="18"/>
              </w:rPr>
              <w:t>16.0%</w:t>
            </w:r>
          </w:p>
        </w:tc>
        <w:tc>
          <w:tcPr>
            <w:tcW w:type="dxa" w:w="1080"/>
          </w:tcPr>
          <w:p>
            <w:r>
              <w:rPr>
                <w:sz w:val="18"/>
              </w:rPr>
              <w:t>38.2%</w:t>
            </w:r>
          </w:p>
        </w:tc>
        <w:tc>
          <w:tcPr>
            <w:tcW w:type="dxa" w:w="1500"/>
          </w:tcPr>
          <w:p>
            <w:r>
              <w:rPr>
                <w:sz w:val="18"/>
              </w:rPr>
              <w:t>1000</w:t>
            </w:r>
          </w:p>
        </w:tc>
      </w:tr>
      <w:tr>
        <w:tc>
          <w:tcPr>
            <w:tcW w:type="dxa" w:w="1620"/>
          </w:tcPr>
          <w:p>
            <w:r>
              <w:rPr>
                <w:sz w:val="18"/>
              </w:rPr>
              <w:t>DIMO</w:t>
            </w:r>
          </w:p>
        </w:tc>
        <w:tc>
          <w:tcPr>
            <w:tcW w:type="dxa" w:w="1200"/>
          </w:tcPr>
          <w:p>
            <w:r>
              <w:rPr>
                <w:sz w:val="18"/>
              </w:rPr>
              <w:t>DIMO</w:t>
            </w:r>
          </w:p>
        </w:tc>
        <w:tc>
          <w:tcPr>
            <w:tcW w:type="dxa" w:w="1080"/>
          </w:tcPr>
          <w:p>
            <w:r>
              <w:rPr>
                <w:sz w:val="18"/>
              </w:rPr>
              <w:t>DePIN</w:t>
            </w:r>
          </w:p>
        </w:tc>
        <w:tc>
          <w:tcPr>
            <w:tcW w:type="dxa" w:w="960"/>
          </w:tcPr>
          <w:p>
            <w:r>
              <w:rPr>
                <w:sz w:val="18"/>
              </w:rPr>
              <w:t>0.0379</w:t>
            </w:r>
          </w:p>
        </w:tc>
        <w:tc>
          <w:tcPr>
            <w:tcW w:type="dxa" w:w="960"/>
          </w:tcPr>
          <w:p>
            <w:r>
              <w:rPr>
                <w:sz w:val="18"/>
              </w:rPr>
              <w:t>0.87</w:t>
            </w:r>
          </w:p>
        </w:tc>
        <w:tc>
          <w:tcPr>
            <w:tcW w:type="dxa" w:w="960"/>
          </w:tcPr>
          <w:p>
            <w:r>
              <w:rPr>
                <w:sz w:val="18"/>
              </w:rPr>
              <w:t>13.9%</w:t>
            </w:r>
          </w:p>
        </w:tc>
        <w:tc>
          <w:tcPr>
            <w:tcW w:type="dxa" w:w="1080"/>
          </w:tcPr>
          <w:p>
            <w:r>
              <w:rPr>
                <w:sz w:val="18"/>
              </w:rPr>
              <w:t>45.0%</w:t>
            </w:r>
          </w:p>
        </w:tc>
        <w:tc>
          <w:tcPr>
            <w:tcW w:type="dxa" w:w="1500"/>
          </w:tcPr>
          <w:p>
            <w:r>
              <w:rPr>
                <w:sz w:val="18"/>
              </w:rPr>
              <w:t>999</w:t>
            </w:r>
          </w:p>
        </w:tc>
      </w:tr>
      <w:tr>
        <w:tc>
          <w:tcPr>
            <w:tcW w:type="dxa" w:w="1620"/>
          </w:tcPr>
          <w:p>
            <w:r>
              <w:rPr>
                <w:sz w:val="18"/>
              </w:rPr>
              <w:t>Anyone Protocol</w:t>
            </w:r>
          </w:p>
        </w:tc>
        <w:tc>
          <w:tcPr>
            <w:tcW w:type="dxa" w:w="1200"/>
          </w:tcPr>
          <w:p>
            <w:r>
              <w:rPr>
                <w:sz w:val="18"/>
              </w:rPr>
              <w:t>ANYONE</w:t>
            </w:r>
          </w:p>
        </w:tc>
        <w:tc>
          <w:tcPr>
            <w:tcW w:type="dxa" w:w="1080"/>
          </w:tcPr>
          <w:p>
            <w:r>
              <w:rPr>
                <w:sz w:val="18"/>
              </w:rPr>
              <w:t>DePIN</w:t>
            </w:r>
          </w:p>
        </w:tc>
        <w:tc>
          <w:tcPr>
            <w:tcW w:type="dxa" w:w="960"/>
          </w:tcPr>
          <w:p>
            <w:r>
              <w:rPr>
                <w:sz w:val="18"/>
              </w:rPr>
              <w:t>0.0404</w:t>
            </w:r>
          </w:p>
        </w:tc>
        <w:tc>
          <w:tcPr>
            <w:tcW w:type="dxa" w:w="960"/>
          </w:tcPr>
          <w:p>
            <w:r>
              <w:rPr>
                <w:sz w:val="18"/>
              </w:rPr>
              <w:t>0.79</w:t>
            </w:r>
          </w:p>
        </w:tc>
        <w:tc>
          <w:tcPr>
            <w:tcW w:type="dxa" w:w="960"/>
          </w:tcPr>
          <w:p>
            <w:r>
              <w:rPr>
                <w:sz w:val="18"/>
              </w:rPr>
              <w:t>13.3%</w:t>
            </w:r>
          </w:p>
        </w:tc>
        <w:tc>
          <w:tcPr>
            <w:tcW w:type="dxa" w:w="1080"/>
          </w:tcPr>
          <w:p>
            <w:r>
              <w:rPr>
                <w:sz w:val="18"/>
              </w:rPr>
              <w:t>47.5%</w:t>
            </w:r>
          </w:p>
        </w:tc>
        <w:tc>
          <w:tcPr>
            <w:tcW w:type="dxa" w:w="1500"/>
          </w:tcPr>
          <w:p>
            <w:r>
              <w:rPr>
                <w:sz w:val="18"/>
              </w:rPr>
              <w:t>1000</w:t>
            </w:r>
          </w:p>
        </w:tc>
      </w:tr>
      <w:tr>
        <w:tc>
          <w:tcPr>
            <w:tcW w:type="dxa" w:w="1620"/>
          </w:tcPr>
          <w:p>
            <w:r>
              <w:rPr>
                <w:sz w:val="18"/>
              </w:rPr>
              <w:t>Filecoin</w:t>
            </w:r>
          </w:p>
        </w:tc>
        <w:tc>
          <w:tcPr>
            <w:tcW w:type="dxa" w:w="1200"/>
          </w:tcPr>
          <w:p>
            <w:r>
              <w:rPr>
                <w:sz w:val="18"/>
              </w:rPr>
              <w:t>FIL</w:t>
            </w:r>
          </w:p>
        </w:tc>
        <w:tc>
          <w:tcPr>
            <w:tcW w:type="dxa" w:w="1080"/>
          </w:tcPr>
          <w:p>
            <w:r>
              <w:rPr>
                <w:sz w:val="18"/>
              </w:rPr>
              <w:t>DePIN</w:t>
            </w:r>
          </w:p>
        </w:tc>
        <w:tc>
          <w:tcPr>
            <w:tcW w:type="dxa" w:w="960"/>
          </w:tcPr>
          <w:p>
            <w:r>
              <w:rPr>
                <w:sz w:val="18"/>
              </w:rPr>
              <w:t>0.0473</w:t>
            </w:r>
          </w:p>
        </w:tc>
        <w:tc>
          <w:tcPr>
            <w:tcW w:type="dxa" w:w="960"/>
          </w:tcPr>
          <w:p>
            <w:r>
              <w:rPr>
                <w:sz w:val="18"/>
              </w:rPr>
              <w:t>0.79</w:t>
            </w:r>
          </w:p>
        </w:tc>
        <w:tc>
          <w:tcPr>
            <w:tcW w:type="dxa" w:w="960"/>
          </w:tcPr>
          <w:p>
            <w:r>
              <w:rPr>
                <w:sz w:val="18"/>
              </w:rPr>
              <w:t>18.0%</w:t>
            </w:r>
          </w:p>
        </w:tc>
        <w:tc>
          <w:tcPr>
            <w:tcW w:type="dxa" w:w="1080"/>
          </w:tcPr>
          <w:p>
            <w:r>
              <w:rPr>
                <w:sz w:val="18"/>
              </w:rPr>
              <w:t>45.6%</w:t>
            </w:r>
          </w:p>
        </w:tc>
        <w:tc>
          <w:tcPr>
            <w:tcW w:type="dxa" w:w="1500"/>
          </w:tcPr>
          <w:p>
            <w:r>
              <w:rPr>
                <w:sz w:val="18"/>
              </w:rPr>
              <w:t>1000</w:t>
            </w:r>
          </w:p>
        </w:tc>
      </w:tr>
      <w:tr>
        <w:tc>
          <w:tcPr>
            <w:tcW w:type="dxa" w:w="1620"/>
          </w:tcPr>
          <w:p>
            <w:r>
              <w:rPr>
                <w:sz w:val="18"/>
              </w:rPr>
              <w:t>Helium</w:t>
            </w:r>
          </w:p>
        </w:tc>
        <w:tc>
          <w:tcPr>
            <w:tcW w:type="dxa" w:w="1200"/>
          </w:tcPr>
          <w:p>
            <w:r>
              <w:rPr>
                <w:sz w:val="18"/>
              </w:rPr>
              <w:t>HNT</w:t>
            </w:r>
          </w:p>
        </w:tc>
        <w:tc>
          <w:tcPr>
            <w:tcW w:type="dxa" w:w="1080"/>
          </w:tcPr>
          <w:p>
            <w:r>
              <w:rPr>
                <w:sz w:val="18"/>
              </w:rPr>
              <w:t>DePIN</w:t>
            </w:r>
          </w:p>
        </w:tc>
        <w:tc>
          <w:tcPr>
            <w:tcW w:type="dxa" w:w="960"/>
          </w:tcPr>
          <w:p>
            <w:r>
              <w:rPr>
                <w:sz w:val="18"/>
              </w:rPr>
              <w:t>0.1024</w:t>
            </w:r>
          </w:p>
        </w:tc>
        <w:tc>
          <w:tcPr>
            <w:tcW w:type="dxa" w:w="960"/>
          </w:tcPr>
          <w:p>
            <w:r>
              <w:rPr>
                <w:sz w:val="18"/>
              </w:rPr>
              <w:t>0.98</w:t>
            </w:r>
          </w:p>
        </w:tc>
        <w:tc>
          <w:tcPr>
            <w:tcW w:type="dxa" w:w="960"/>
          </w:tcPr>
          <w:p>
            <w:r>
              <w:rPr>
                <w:sz w:val="18"/>
              </w:rPr>
              <w:t>24.5%</w:t>
            </w:r>
          </w:p>
        </w:tc>
        <w:tc>
          <w:tcPr>
            <w:tcW w:type="dxa" w:w="1080"/>
          </w:tcPr>
          <w:p>
            <w:r>
              <w:rPr>
                <w:sz w:val="18"/>
              </w:rPr>
              <w:t>79.4%</w:t>
            </w:r>
          </w:p>
        </w:tc>
        <w:tc>
          <w:tcPr>
            <w:tcW w:type="dxa" w:w="1500"/>
          </w:tcPr>
          <w:p>
            <w:r>
              <w:rPr>
                <w:sz w:val="18"/>
              </w:rPr>
              <w:t>1000</w:t>
            </w:r>
          </w:p>
        </w:tc>
      </w:tr>
      <w:tr>
        <w:tc>
          <w:tcPr>
            <w:tcW w:type="dxa" w:w="1620"/>
          </w:tcPr>
          <w:p>
            <w:r>
              <w:rPr>
                <w:sz w:val="18"/>
              </w:rPr>
              <w:t>IoTeX</w:t>
            </w:r>
          </w:p>
        </w:tc>
        <w:tc>
          <w:tcPr>
            <w:tcW w:type="dxa" w:w="1200"/>
          </w:tcPr>
          <w:p>
            <w:r>
              <w:rPr>
                <w:sz w:val="18"/>
              </w:rPr>
              <w:t>IOTX</w:t>
            </w:r>
          </w:p>
        </w:tc>
        <w:tc>
          <w:tcPr>
            <w:tcW w:type="dxa" w:w="1080"/>
          </w:tcPr>
          <w:p>
            <w:r>
              <w:rPr>
                <w:sz w:val="18"/>
              </w:rPr>
              <w:t>DePIN</w:t>
            </w:r>
          </w:p>
        </w:tc>
        <w:tc>
          <w:tcPr>
            <w:tcW w:type="dxa" w:w="960"/>
          </w:tcPr>
          <w:p>
            <w:r>
              <w:rPr>
                <w:sz w:val="18"/>
              </w:rPr>
              <w:t>0.1065</w:t>
            </w:r>
          </w:p>
        </w:tc>
        <w:tc>
          <w:tcPr>
            <w:tcW w:type="dxa" w:w="960"/>
          </w:tcPr>
          <w:p>
            <w:r>
              <w:rPr>
                <w:sz w:val="18"/>
              </w:rPr>
              <w:t>0.99</w:t>
            </w:r>
          </w:p>
        </w:tc>
        <w:tc>
          <w:tcPr>
            <w:tcW w:type="dxa" w:w="960"/>
          </w:tcPr>
          <w:p>
            <w:r>
              <w:rPr>
                <w:sz w:val="18"/>
              </w:rPr>
              <w:t>19.8%</w:t>
            </w:r>
          </w:p>
        </w:tc>
        <w:tc>
          <w:tcPr>
            <w:tcW w:type="dxa" w:w="1080"/>
          </w:tcPr>
          <w:p>
            <w:r>
              <w:rPr>
                <w:sz w:val="18"/>
              </w:rPr>
              <w:t>90.6%</w:t>
            </w:r>
          </w:p>
        </w:tc>
        <w:tc>
          <w:tcPr>
            <w:tcW w:type="dxa" w:w="1500"/>
          </w:tcPr>
          <w:p>
            <w:r>
              <w:rPr>
                <w:sz w:val="18"/>
              </w:rPr>
              <w:t>1000</w:t>
            </w:r>
          </w:p>
        </w:tc>
      </w:tr>
      <w:tr>
        <w:tc>
          <w:tcPr>
            <w:tcW w:type="dxa" w:w="1620"/>
          </w:tcPr>
          <w:p>
            <w:r>
              <w:rPr>
                <w:sz w:val="18"/>
              </w:rPr>
              <w:t>GEODNET</w:t>
            </w:r>
          </w:p>
        </w:tc>
        <w:tc>
          <w:tcPr>
            <w:tcW w:type="dxa" w:w="1200"/>
          </w:tcPr>
          <w:p>
            <w:r>
              <w:rPr>
                <w:sz w:val="18"/>
              </w:rPr>
              <w:t>GEOD</w:t>
            </w:r>
          </w:p>
        </w:tc>
        <w:tc>
          <w:tcPr>
            <w:tcW w:type="dxa" w:w="1080"/>
          </w:tcPr>
          <w:p>
            <w:r>
              <w:rPr>
                <w:sz w:val="18"/>
              </w:rPr>
              <w:t>DePIN</w:t>
            </w:r>
          </w:p>
        </w:tc>
        <w:tc>
          <w:tcPr>
            <w:tcW w:type="dxa" w:w="960"/>
          </w:tcPr>
          <w:p>
            <w:r>
              <w:rPr>
                <w:sz w:val="18"/>
              </w:rPr>
              <w:t>0.1325</w:t>
            </w:r>
          </w:p>
        </w:tc>
        <w:tc>
          <w:tcPr>
            <w:tcW w:type="dxa" w:w="960"/>
          </w:tcPr>
          <w:p>
            <w:r>
              <w:rPr>
                <w:sz w:val="18"/>
              </w:rPr>
              <w:t>0.96</w:t>
            </w:r>
          </w:p>
        </w:tc>
        <w:tc>
          <w:tcPr>
            <w:tcW w:type="dxa" w:w="960"/>
          </w:tcPr>
          <w:p>
            <w:r>
              <w:rPr>
                <w:sz w:val="18"/>
              </w:rPr>
              <w:t>24.9%</w:t>
            </w:r>
          </w:p>
        </w:tc>
        <w:tc>
          <w:tcPr>
            <w:tcW w:type="dxa" w:w="1080"/>
          </w:tcPr>
          <w:p>
            <w:r>
              <w:rPr>
                <w:sz w:val="18"/>
              </w:rPr>
              <w:t>81.8%</w:t>
            </w:r>
          </w:p>
        </w:tc>
        <w:tc>
          <w:tcPr>
            <w:tcW w:type="dxa" w:w="1500"/>
          </w:tcPr>
          <w:p>
            <w:r>
              <w:rPr>
                <w:sz w:val="18"/>
              </w:rPr>
              <w:t>1000</w:t>
            </w:r>
          </w:p>
        </w:tc>
      </w:tr>
      <w:tr>
        <w:tc>
          <w:tcPr>
            <w:tcW w:type="dxa" w:w="1620"/>
          </w:tcPr>
          <w:p>
            <w:r>
              <w:rPr>
                <w:sz w:val="18"/>
              </w:rPr>
              <w:t>WeatherXM</w:t>
            </w:r>
          </w:p>
        </w:tc>
        <w:tc>
          <w:tcPr>
            <w:tcW w:type="dxa" w:w="1200"/>
          </w:tcPr>
          <w:p>
            <w:r>
              <w:rPr>
                <w:sz w:val="18"/>
              </w:rPr>
              <w:t>WXM</w:t>
            </w:r>
          </w:p>
        </w:tc>
        <w:tc>
          <w:tcPr>
            <w:tcW w:type="dxa" w:w="1080"/>
          </w:tcPr>
          <w:p>
            <w:r>
              <w:rPr>
                <w:sz w:val="18"/>
              </w:rPr>
              <w:t>DePIN</w:t>
            </w:r>
          </w:p>
        </w:tc>
        <w:tc>
          <w:tcPr>
            <w:tcW w:type="dxa" w:w="960"/>
          </w:tcPr>
          <w:p>
            <w:r>
              <w:rPr>
                <w:sz w:val="18"/>
              </w:rPr>
              <w:t>0.1479</w:t>
            </w:r>
          </w:p>
        </w:tc>
        <w:tc>
          <w:tcPr>
            <w:tcW w:type="dxa" w:w="960"/>
          </w:tcPr>
          <w:p>
            <w:r>
              <w:rPr>
                <w:sz w:val="18"/>
              </w:rPr>
              <w:t>0.89</w:t>
            </w:r>
          </w:p>
        </w:tc>
        <w:tc>
          <w:tcPr>
            <w:tcW w:type="dxa" w:w="960"/>
          </w:tcPr>
          <w:p>
            <w:r>
              <w:rPr>
                <w:sz w:val="18"/>
              </w:rPr>
              <w:t>35.0%</w:t>
            </w:r>
          </w:p>
        </w:tc>
        <w:tc>
          <w:tcPr>
            <w:tcW w:type="dxa" w:w="1080"/>
          </w:tcPr>
          <w:p>
            <w:r>
              <w:rPr>
                <w:sz w:val="18"/>
              </w:rPr>
              <w:t>77.9%</w:t>
            </w:r>
          </w:p>
        </w:tc>
        <w:tc>
          <w:tcPr>
            <w:tcW w:type="dxa" w:w="1500"/>
          </w:tcPr>
          <w:p>
            <w:r>
              <w:rPr>
                <w:sz w:val="18"/>
              </w:rPr>
              <w:t>999</w:t>
            </w:r>
          </w:p>
        </w:tc>
      </w:tr>
      <w:tr>
        <w:tc>
          <w:tcPr>
            <w:tcW w:type="dxa" w:w="1620"/>
          </w:tcPr>
          <w:p>
            <w:r>
              <w:rPr>
                <w:sz w:val="18"/>
              </w:rPr>
              <w:t>Pokt Network</w:t>
            </w:r>
          </w:p>
        </w:tc>
        <w:tc>
          <w:tcPr>
            <w:tcW w:type="dxa" w:w="1200"/>
          </w:tcPr>
          <w:p>
            <w:r>
              <w:rPr>
                <w:sz w:val="18"/>
              </w:rPr>
              <w:t>POKT</w:t>
            </w:r>
          </w:p>
        </w:tc>
        <w:tc>
          <w:tcPr>
            <w:tcW w:type="dxa" w:w="1080"/>
          </w:tcPr>
          <w:p>
            <w:r>
              <w:rPr>
                <w:sz w:val="18"/>
              </w:rPr>
              <w:t>DePIN</w:t>
            </w:r>
          </w:p>
        </w:tc>
        <w:tc>
          <w:tcPr>
            <w:tcW w:type="dxa" w:w="960"/>
          </w:tcPr>
          <w:p>
            <w:r>
              <w:rPr>
                <w:sz w:val="18"/>
              </w:rPr>
              <w:t>0.1592</w:t>
            </w:r>
          </w:p>
        </w:tc>
        <w:tc>
          <w:tcPr>
            <w:tcW w:type="dxa" w:w="960"/>
          </w:tcPr>
          <w:p>
            <w:r>
              <w:rPr>
                <w:sz w:val="18"/>
              </w:rPr>
              <w:t>0.96</w:t>
            </w:r>
          </w:p>
        </w:tc>
        <w:tc>
          <w:tcPr>
            <w:tcW w:type="dxa" w:w="960"/>
          </w:tcPr>
          <w:p>
            <w:r>
              <w:rPr>
                <w:sz w:val="18"/>
              </w:rPr>
              <w:t>34.8%</w:t>
            </w:r>
          </w:p>
        </w:tc>
        <w:tc>
          <w:tcPr>
            <w:tcW w:type="dxa" w:w="1080"/>
          </w:tcPr>
          <w:p>
            <w:r>
              <w:rPr>
                <w:sz w:val="18"/>
              </w:rPr>
              <w:t>77.2%</w:t>
            </w:r>
          </w:p>
        </w:tc>
        <w:tc>
          <w:tcPr>
            <w:tcW w:type="dxa" w:w="1500"/>
          </w:tcPr>
          <w:p>
            <w:r>
              <w:rPr>
                <w:sz w:val="18"/>
              </w:rPr>
              <w:t>1000</w:t>
            </w:r>
          </w:p>
        </w:tc>
      </w:tr>
      <w:tr>
        <w:tc>
          <w:tcPr>
            <w:tcW w:type="dxa" w:w="1620"/>
          </w:tcPr>
          <w:p>
            <w:r>
              <w:rPr>
                <w:sz w:val="18"/>
              </w:rPr>
              <w:t>Livepeer</w:t>
            </w:r>
          </w:p>
        </w:tc>
        <w:tc>
          <w:tcPr>
            <w:tcW w:type="dxa" w:w="1200"/>
          </w:tcPr>
          <w:p>
            <w:r>
              <w:rPr>
                <w:sz w:val="18"/>
              </w:rPr>
              <w:t>LPT</w:t>
            </w:r>
          </w:p>
        </w:tc>
        <w:tc>
          <w:tcPr>
            <w:tcW w:type="dxa" w:w="1080"/>
          </w:tcPr>
          <w:p>
            <w:r>
              <w:rPr>
                <w:sz w:val="18"/>
              </w:rPr>
              <w:t>DePIN</w:t>
            </w:r>
          </w:p>
        </w:tc>
        <w:tc>
          <w:tcPr>
            <w:tcW w:type="dxa" w:w="960"/>
          </w:tcPr>
          <w:p>
            <w:r>
              <w:rPr>
                <w:sz w:val="18"/>
              </w:rPr>
              <w:t>0.1989</w:t>
            </w:r>
          </w:p>
        </w:tc>
        <w:tc>
          <w:tcPr>
            <w:tcW w:type="dxa" w:w="960"/>
          </w:tcPr>
          <w:p>
            <w:r>
              <w:rPr>
                <w:sz w:val="18"/>
              </w:rPr>
              <w:t>0.94</w:t>
            </w:r>
          </w:p>
        </w:tc>
        <w:tc>
          <w:tcPr>
            <w:tcW w:type="dxa" w:w="960"/>
          </w:tcPr>
          <w:p>
            <w:r>
              <w:rPr>
                <w:sz w:val="18"/>
              </w:rPr>
              <w:t>42.9%</w:t>
            </w:r>
          </w:p>
        </w:tc>
        <w:tc>
          <w:tcPr>
            <w:tcW w:type="dxa" w:w="1080"/>
          </w:tcPr>
          <w:p>
            <w:r>
              <w:rPr>
                <w:sz w:val="18"/>
              </w:rPr>
              <w:t>73.7%</w:t>
            </w:r>
          </w:p>
        </w:tc>
        <w:tc>
          <w:tcPr>
            <w:tcW w:type="dxa" w:w="1500"/>
          </w:tcPr>
          <w:p>
            <w:r>
              <w:rPr>
                <w:sz w:val="18"/>
              </w:rPr>
              <w:t>998</w:t>
            </w:r>
          </w:p>
        </w:tc>
      </w:tr>
      <w:tr>
        <w:tc>
          <w:tcPr>
            <w:tcW w:type="dxa" w:w="1620"/>
          </w:tcPr>
          <w:p>
            <w:r>
              <w:rPr>
                <w:sz w:val="18"/>
              </w:rPr>
              <w:t>Hyperliquid</w:t>
            </w:r>
          </w:p>
        </w:tc>
        <w:tc>
          <w:tcPr>
            <w:tcW w:type="dxa" w:w="1200"/>
          </w:tcPr>
          <w:p>
            <w:r>
              <w:rPr>
                <w:sz w:val="18"/>
              </w:rPr>
              <w:t>HYPE</w:t>
            </w:r>
          </w:p>
        </w:tc>
        <w:tc>
          <w:tcPr>
            <w:tcW w:type="dxa" w:w="1080"/>
          </w:tcPr>
          <w:p>
            <w:r>
              <w:rPr>
                <w:sz w:val="18"/>
              </w:rPr>
              <w:t>DeFi</w:t>
            </w:r>
          </w:p>
        </w:tc>
        <w:tc>
          <w:tcPr>
            <w:tcW w:type="dxa" w:w="960"/>
          </w:tcPr>
          <w:p>
            <w:r>
              <w:rPr>
                <w:sz w:val="18"/>
              </w:rPr>
              <w:t>0.0045</w:t>
            </w:r>
          </w:p>
        </w:tc>
        <w:tc>
          <w:tcPr>
            <w:tcW w:type="dxa" w:w="960"/>
          </w:tcPr>
          <w:p>
            <w:r>
              <w:rPr>
                <w:sz w:val="18"/>
              </w:rPr>
              <w:t>0.73</w:t>
            </w:r>
          </w:p>
        </w:tc>
        <w:tc>
          <w:tcPr>
            <w:tcW w:type="dxa" w:w="960"/>
          </w:tcPr>
          <w:p>
            <w:r>
              <w:rPr>
                <w:sz w:val="18"/>
              </w:rPr>
              <w:t>2.2%</w:t>
            </w:r>
          </w:p>
        </w:tc>
        <w:tc>
          <w:tcPr>
            <w:tcW w:type="dxa" w:w="1080"/>
          </w:tcPr>
          <w:p>
            <w:r>
              <w:rPr>
                <w:sz w:val="18"/>
              </w:rPr>
              <w:t>14.5%</w:t>
            </w:r>
          </w:p>
        </w:tc>
        <w:tc>
          <w:tcPr>
            <w:tcW w:type="dxa" w:w="1500"/>
          </w:tcPr>
          <w:p>
            <w:r>
              <w:rPr>
                <w:sz w:val="18"/>
              </w:rPr>
              <w:t>1886</w:t>
            </w:r>
          </w:p>
        </w:tc>
      </w:tr>
      <w:tr>
        <w:tc>
          <w:tcPr>
            <w:tcW w:type="dxa" w:w="1620"/>
          </w:tcPr>
          <w:p>
            <w:r>
              <w:rPr>
                <w:sz w:val="18"/>
              </w:rPr>
              <w:t>Lido</w:t>
            </w:r>
          </w:p>
        </w:tc>
        <w:tc>
          <w:tcPr>
            <w:tcW w:type="dxa" w:w="1200"/>
          </w:tcPr>
          <w:p>
            <w:r>
              <w:rPr>
                <w:sz w:val="18"/>
              </w:rPr>
              <w:t>LDO</w:t>
            </w:r>
          </w:p>
        </w:tc>
        <w:tc>
          <w:tcPr>
            <w:tcW w:type="dxa" w:w="1080"/>
          </w:tcPr>
          <w:p>
            <w:r>
              <w:rPr>
                <w:sz w:val="18"/>
              </w:rPr>
              <w:t>DeFi</w:t>
            </w:r>
          </w:p>
        </w:tc>
        <w:tc>
          <w:tcPr>
            <w:tcW w:type="dxa" w:w="960"/>
          </w:tcPr>
          <w:p>
            <w:r>
              <w:rPr>
                <w:sz w:val="18"/>
              </w:rPr>
              <w:t>0.013</w:t>
            </w:r>
          </w:p>
        </w:tc>
        <w:tc>
          <w:tcPr>
            <w:tcW w:type="dxa" w:w="960"/>
          </w:tcPr>
          <w:p>
            <w:r>
              <w:rPr>
                <w:sz w:val="18"/>
              </w:rPr>
              <w:t>0.52</w:t>
            </w:r>
          </w:p>
        </w:tc>
        <w:tc>
          <w:tcPr>
            <w:tcW w:type="dxa" w:w="960"/>
          </w:tcPr>
          <w:p>
            <w:r>
              <w:rPr>
                <w:sz w:val="18"/>
              </w:rPr>
              <w:t>7.9%</w:t>
            </w:r>
          </w:p>
        </w:tc>
        <w:tc>
          <w:tcPr>
            <w:tcW w:type="dxa" w:w="1080"/>
          </w:tcPr>
          <w:p>
            <w:r>
              <w:rPr>
                <w:sz w:val="18"/>
              </w:rPr>
              <w:t>27.7%</w:t>
            </w:r>
          </w:p>
        </w:tc>
        <w:tc>
          <w:tcPr>
            <w:tcW w:type="dxa" w:w="1500"/>
          </w:tcPr>
          <w:p>
            <w:r>
              <w:rPr>
                <w:sz w:val="18"/>
              </w:rPr>
              <w:t>189</w:t>
            </w:r>
          </w:p>
        </w:tc>
      </w:tr>
      <w:tr>
        <w:tc>
          <w:tcPr>
            <w:tcW w:type="dxa" w:w="1620"/>
          </w:tcPr>
          <w:p>
            <w:r>
              <w:rPr>
                <w:sz w:val="18"/>
              </w:rPr>
              <w:t>Maple Finance</w:t>
            </w:r>
          </w:p>
        </w:tc>
        <w:tc>
          <w:tcPr>
            <w:tcW w:type="dxa" w:w="1200"/>
          </w:tcPr>
          <w:p>
            <w:r>
              <w:rPr>
                <w:sz w:val="18"/>
              </w:rPr>
              <w:t>MPL_SYRUP</w:t>
            </w:r>
          </w:p>
        </w:tc>
        <w:tc>
          <w:tcPr>
            <w:tcW w:type="dxa" w:w="1080"/>
          </w:tcPr>
          <w:p>
            <w:r>
              <w:rPr>
                <w:sz w:val="18"/>
              </w:rPr>
              <w:t>DeFi</w:t>
            </w:r>
          </w:p>
        </w:tc>
        <w:tc>
          <w:tcPr>
            <w:tcW w:type="dxa" w:w="960"/>
          </w:tcPr>
          <w:p>
            <w:r>
              <w:rPr>
                <w:sz w:val="18"/>
              </w:rPr>
              <w:t>0.0242</w:t>
            </w:r>
          </w:p>
        </w:tc>
        <w:tc>
          <w:tcPr>
            <w:tcW w:type="dxa" w:w="960"/>
          </w:tcPr>
          <w:p>
            <w:r>
              <w:rPr>
                <w:sz w:val="18"/>
              </w:rPr>
              <w:t>0.88</w:t>
            </w:r>
          </w:p>
        </w:tc>
        <w:tc>
          <w:tcPr>
            <w:tcW w:type="dxa" w:w="960"/>
          </w:tcPr>
          <w:p>
            <w:r>
              <w:rPr>
                <w:sz w:val="18"/>
              </w:rPr>
              <w:t>8.5%</w:t>
            </w:r>
          </w:p>
        </w:tc>
        <w:tc>
          <w:tcPr>
            <w:tcW w:type="dxa" w:w="1080"/>
          </w:tcPr>
          <w:p>
            <w:r>
              <w:rPr>
                <w:sz w:val="18"/>
              </w:rPr>
              <w:t>40.6%</w:t>
            </w:r>
          </w:p>
        </w:tc>
        <w:tc>
          <w:tcPr>
            <w:tcW w:type="dxa" w:w="1500"/>
          </w:tcPr>
          <w:p>
            <w:r>
              <w:rPr>
                <w:sz w:val="18"/>
              </w:rPr>
              <w:t>998</w:t>
            </w:r>
          </w:p>
        </w:tc>
      </w:tr>
      <w:tr>
        <w:tc>
          <w:tcPr>
            <w:tcW w:type="dxa" w:w="1620"/>
          </w:tcPr>
          <w:p>
            <w:r>
              <w:rPr>
                <w:sz w:val="18"/>
              </w:rPr>
              <w:t>Compound</w:t>
            </w:r>
          </w:p>
        </w:tc>
        <w:tc>
          <w:tcPr>
            <w:tcW w:type="dxa" w:w="1200"/>
          </w:tcPr>
          <w:p>
            <w:r>
              <w:rPr>
                <w:sz w:val="18"/>
              </w:rPr>
              <w:t>COMP</w:t>
            </w:r>
          </w:p>
        </w:tc>
        <w:tc>
          <w:tcPr>
            <w:tcW w:type="dxa" w:w="1080"/>
          </w:tcPr>
          <w:p>
            <w:r>
              <w:rPr>
                <w:sz w:val="18"/>
              </w:rPr>
              <w:t>DeFi</w:t>
            </w:r>
          </w:p>
        </w:tc>
        <w:tc>
          <w:tcPr>
            <w:tcW w:type="dxa" w:w="960"/>
          </w:tcPr>
          <w:p>
            <w:r>
              <w:rPr>
                <w:sz w:val="18"/>
              </w:rPr>
              <w:t>0.0275</w:t>
            </w:r>
          </w:p>
        </w:tc>
        <w:tc>
          <w:tcPr>
            <w:tcW w:type="dxa" w:w="960"/>
          </w:tcPr>
          <w:p>
            <w:r>
              <w:rPr>
                <w:sz w:val="18"/>
              </w:rPr>
              <w:t>0.86</w:t>
            </w:r>
          </w:p>
        </w:tc>
        <w:tc>
          <w:tcPr>
            <w:tcW w:type="dxa" w:w="960"/>
          </w:tcPr>
          <w:p>
            <w:r>
              <w:rPr>
                <w:sz w:val="18"/>
              </w:rPr>
              <w:t>14.1%</w:t>
            </w:r>
          </w:p>
        </w:tc>
        <w:tc>
          <w:tcPr>
            <w:tcW w:type="dxa" w:w="1080"/>
          </w:tcPr>
          <w:p>
            <w:r>
              <w:rPr>
                <w:sz w:val="18"/>
              </w:rPr>
              <w:t>32.4%</w:t>
            </w:r>
          </w:p>
        </w:tc>
        <w:tc>
          <w:tcPr>
            <w:tcW w:type="dxa" w:w="1500"/>
          </w:tcPr>
          <w:p>
            <w:r>
              <w:rPr>
                <w:sz w:val="18"/>
              </w:rPr>
              <w:t>1000</w:t>
            </w:r>
          </w:p>
        </w:tc>
      </w:tr>
      <w:tr>
        <w:tc>
          <w:tcPr>
            <w:tcW w:type="dxa" w:w="1620"/>
          </w:tcPr>
          <w:p>
            <w:r>
              <w:rPr>
                <w:sz w:val="18"/>
              </w:rPr>
              <w:t>Balancer</w:t>
            </w:r>
          </w:p>
        </w:tc>
        <w:tc>
          <w:tcPr>
            <w:tcW w:type="dxa" w:w="1200"/>
          </w:tcPr>
          <w:p>
            <w:r>
              <w:rPr>
                <w:sz w:val="18"/>
              </w:rPr>
              <w:t>BAL</w:t>
            </w:r>
          </w:p>
        </w:tc>
        <w:tc>
          <w:tcPr>
            <w:tcW w:type="dxa" w:w="1080"/>
          </w:tcPr>
          <w:p>
            <w:r>
              <w:rPr>
                <w:sz w:val="18"/>
              </w:rPr>
              <w:t>DeFi</w:t>
            </w:r>
          </w:p>
        </w:tc>
        <w:tc>
          <w:tcPr>
            <w:tcW w:type="dxa" w:w="960"/>
          </w:tcPr>
          <w:p>
            <w:r>
              <w:rPr>
                <w:sz w:val="18"/>
              </w:rPr>
              <w:t>0.0295</w:t>
            </w:r>
          </w:p>
        </w:tc>
        <w:tc>
          <w:tcPr>
            <w:tcW w:type="dxa" w:w="960"/>
          </w:tcPr>
          <w:p>
            <w:r>
              <w:rPr>
                <w:sz w:val="18"/>
              </w:rPr>
              <w:t>0.88</w:t>
            </w:r>
          </w:p>
        </w:tc>
        <w:tc>
          <w:tcPr>
            <w:tcW w:type="dxa" w:w="960"/>
          </w:tcPr>
          <w:p>
            <w:r>
              <w:rPr>
                <w:sz w:val="18"/>
              </w:rPr>
              <w:t>12.4%</w:t>
            </w:r>
          </w:p>
        </w:tc>
        <w:tc>
          <w:tcPr>
            <w:tcW w:type="dxa" w:w="1080"/>
          </w:tcPr>
          <w:p>
            <w:r>
              <w:rPr>
                <w:sz w:val="18"/>
              </w:rPr>
              <w:t>38.0%</w:t>
            </w:r>
          </w:p>
        </w:tc>
        <w:tc>
          <w:tcPr>
            <w:tcW w:type="dxa" w:w="1500"/>
          </w:tcPr>
          <w:p>
            <w:r>
              <w:rPr>
                <w:sz w:val="18"/>
              </w:rPr>
              <w:t>990</w:t>
            </w:r>
          </w:p>
        </w:tc>
      </w:tr>
      <w:tr>
        <w:tc>
          <w:tcPr>
            <w:tcW w:type="dxa" w:w="1620"/>
          </w:tcPr>
          <w:p>
            <w:r>
              <w:rPr>
                <w:sz w:val="18"/>
              </w:rPr>
              <w:t>Rocket Pool</w:t>
            </w:r>
          </w:p>
        </w:tc>
        <w:tc>
          <w:tcPr>
            <w:tcW w:type="dxa" w:w="1200"/>
          </w:tcPr>
          <w:p>
            <w:r>
              <w:rPr>
                <w:sz w:val="18"/>
              </w:rPr>
              <w:t>RPL</w:t>
            </w:r>
          </w:p>
        </w:tc>
        <w:tc>
          <w:tcPr>
            <w:tcW w:type="dxa" w:w="1080"/>
          </w:tcPr>
          <w:p>
            <w:r>
              <w:rPr>
                <w:sz w:val="18"/>
              </w:rPr>
              <w:t>DeFi</w:t>
            </w:r>
          </w:p>
        </w:tc>
        <w:tc>
          <w:tcPr>
            <w:tcW w:type="dxa" w:w="960"/>
          </w:tcPr>
          <w:p>
            <w:r>
              <w:rPr>
                <w:sz w:val="18"/>
              </w:rPr>
              <w:t>0.0391</w:t>
            </w:r>
          </w:p>
        </w:tc>
        <w:tc>
          <w:tcPr>
            <w:tcW w:type="dxa" w:w="960"/>
          </w:tcPr>
          <w:p>
            <w:r>
              <w:rPr>
                <w:sz w:val="18"/>
              </w:rPr>
              <w:t>0.87</w:t>
            </w:r>
          </w:p>
        </w:tc>
        <w:tc>
          <w:tcPr>
            <w:tcW w:type="dxa" w:w="960"/>
          </w:tcPr>
          <w:p>
            <w:r>
              <w:rPr>
                <w:sz w:val="18"/>
              </w:rPr>
              <w:t>11.5%</w:t>
            </w:r>
          </w:p>
        </w:tc>
        <w:tc>
          <w:tcPr>
            <w:tcW w:type="dxa" w:w="1080"/>
          </w:tcPr>
          <w:p>
            <w:r>
              <w:rPr>
                <w:sz w:val="18"/>
              </w:rPr>
              <w:t>52.7%</w:t>
            </w:r>
          </w:p>
        </w:tc>
        <w:tc>
          <w:tcPr>
            <w:tcW w:type="dxa" w:w="1500"/>
          </w:tcPr>
          <w:p>
            <w:r>
              <w:rPr>
                <w:sz w:val="18"/>
              </w:rPr>
              <w:t>999</w:t>
            </w:r>
          </w:p>
        </w:tc>
      </w:tr>
      <w:tr>
        <w:tc>
          <w:tcPr>
            <w:tcW w:type="dxa" w:w="1620"/>
          </w:tcPr>
          <w:p>
            <w:r>
              <w:rPr>
                <w:sz w:val="18"/>
              </w:rPr>
              <w:t>MakerDAO</w:t>
            </w:r>
          </w:p>
        </w:tc>
        <w:tc>
          <w:tcPr>
            <w:tcW w:type="dxa" w:w="1200"/>
          </w:tcPr>
          <w:p>
            <w:r>
              <w:rPr>
                <w:sz w:val="18"/>
              </w:rPr>
              <w:t>MKR</w:t>
            </w:r>
          </w:p>
        </w:tc>
        <w:tc>
          <w:tcPr>
            <w:tcW w:type="dxa" w:w="1080"/>
          </w:tcPr>
          <w:p>
            <w:r>
              <w:rPr>
                <w:sz w:val="18"/>
              </w:rPr>
              <w:t>DeFi</w:t>
            </w:r>
          </w:p>
        </w:tc>
        <w:tc>
          <w:tcPr>
            <w:tcW w:type="dxa" w:w="960"/>
          </w:tcPr>
          <w:p>
            <w:r>
              <w:rPr>
                <w:sz w:val="18"/>
              </w:rPr>
              <w:t>0.0450</w:t>
            </w:r>
          </w:p>
        </w:tc>
        <w:tc>
          <w:tcPr>
            <w:tcW w:type="dxa" w:w="960"/>
          </w:tcPr>
          <w:p>
            <w:r>
              <w:rPr>
                <w:sz w:val="18"/>
              </w:rPr>
              <w:t>0.90</w:t>
            </w:r>
          </w:p>
        </w:tc>
        <w:tc>
          <w:tcPr>
            <w:tcW w:type="dxa" w:w="960"/>
          </w:tcPr>
          <w:p>
            <w:r>
              <w:rPr>
                <w:sz w:val="18"/>
              </w:rPr>
              <w:t>11.4%</w:t>
            </w:r>
          </w:p>
        </w:tc>
        <w:tc>
          <w:tcPr>
            <w:tcW w:type="dxa" w:w="1080"/>
          </w:tcPr>
          <w:p>
            <w:r>
              <w:rPr>
                <w:sz w:val="18"/>
              </w:rPr>
              <w:t>56.2%</w:t>
            </w:r>
          </w:p>
        </w:tc>
        <w:tc>
          <w:tcPr>
            <w:tcW w:type="dxa" w:w="1500"/>
          </w:tcPr>
          <w:p>
            <w:r>
              <w:rPr>
                <w:sz w:val="18"/>
              </w:rPr>
              <w:t>1000</w:t>
            </w:r>
          </w:p>
        </w:tc>
      </w:tr>
      <w:tr>
        <w:tc>
          <w:tcPr>
            <w:tcW w:type="dxa" w:w="1620"/>
          </w:tcPr>
          <w:p>
            <w:r>
              <w:rPr>
                <w:sz w:val="18"/>
              </w:rPr>
              <w:t>MetaDAO †</w:t>
            </w:r>
          </w:p>
        </w:tc>
        <w:tc>
          <w:tcPr>
            <w:tcW w:type="dxa" w:w="1200"/>
          </w:tcPr>
          <w:p>
            <w:r>
              <w:rPr>
                <w:sz w:val="18"/>
              </w:rPr>
              <w:t>META</w:t>
            </w:r>
          </w:p>
        </w:tc>
        <w:tc>
          <w:tcPr>
            <w:tcW w:type="dxa" w:w="1080"/>
          </w:tcPr>
          <w:p>
            <w:r>
              <w:rPr>
                <w:sz w:val="18"/>
              </w:rPr>
              <w:t>DeFi</w:t>
            </w:r>
          </w:p>
        </w:tc>
        <w:tc>
          <w:tcPr>
            <w:tcW w:type="dxa" w:w="960"/>
          </w:tcPr>
          <w:p>
            <w:r>
              <w:rPr>
                <w:sz w:val="18"/>
              </w:rPr>
              <w:t>0.0482</w:t>
            </w:r>
          </w:p>
        </w:tc>
        <w:tc>
          <w:tcPr>
            <w:tcW w:type="dxa" w:w="960"/>
          </w:tcPr>
          <w:p>
            <w:r>
              <w:rPr>
                <w:sz w:val="18"/>
              </w:rPr>
              <w:t>0.90</w:t>
            </w:r>
          </w:p>
        </w:tc>
        <w:tc>
          <w:tcPr>
            <w:tcW w:type="dxa" w:w="960"/>
          </w:tcPr>
          <w:p>
            <w:r>
              <w:rPr>
                <w:sz w:val="18"/>
              </w:rPr>
              <w:t>19.6%</w:t>
            </w:r>
          </w:p>
        </w:tc>
        <w:tc>
          <w:tcPr>
            <w:tcW w:type="dxa" w:w="1080"/>
          </w:tcPr>
          <w:p>
            <w:r>
              <w:rPr>
                <w:sz w:val="18"/>
              </w:rPr>
              <w:t>41.4%</w:t>
            </w:r>
          </w:p>
        </w:tc>
        <w:tc>
          <w:tcPr>
            <w:tcW w:type="dxa" w:w="1500"/>
          </w:tcPr>
          <w:p>
            <w:r>
              <w:rPr>
                <w:sz w:val="18"/>
              </w:rPr>
              <w:t>1000</w:t>
            </w:r>
          </w:p>
        </w:tc>
      </w:tr>
      <w:tr>
        <w:tc>
          <w:tcPr>
            <w:tcW w:type="dxa" w:w="1620"/>
          </w:tcPr>
          <w:p>
            <w:r>
              <w:rPr>
                <w:sz w:val="18"/>
              </w:rPr>
              <w:t>GMX</w:t>
            </w:r>
          </w:p>
        </w:tc>
        <w:tc>
          <w:tcPr>
            <w:tcW w:type="dxa" w:w="1200"/>
          </w:tcPr>
          <w:p>
            <w:r>
              <w:rPr>
                <w:sz w:val="18"/>
              </w:rPr>
              <w:t>GMX</w:t>
            </w:r>
          </w:p>
        </w:tc>
        <w:tc>
          <w:tcPr>
            <w:tcW w:type="dxa" w:w="1080"/>
          </w:tcPr>
          <w:p>
            <w:r>
              <w:rPr>
                <w:sz w:val="18"/>
              </w:rPr>
              <w:t>DeFi</w:t>
            </w:r>
          </w:p>
        </w:tc>
        <w:tc>
          <w:tcPr>
            <w:tcW w:type="dxa" w:w="960"/>
          </w:tcPr>
          <w:p>
            <w:r>
              <w:rPr>
                <w:sz w:val="18"/>
              </w:rPr>
              <w:t>0.0564</w:t>
            </w:r>
          </w:p>
        </w:tc>
        <w:tc>
          <w:tcPr>
            <w:tcW w:type="dxa" w:w="960"/>
          </w:tcPr>
          <w:p>
            <w:r>
              <w:rPr>
                <w:sz w:val="18"/>
              </w:rPr>
              <w:t>0.93</w:t>
            </w:r>
          </w:p>
        </w:tc>
        <w:tc>
          <w:tcPr>
            <w:tcW w:type="dxa" w:w="960"/>
          </w:tcPr>
          <w:p>
            <w:r>
              <w:rPr>
                <w:sz w:val="18"/>
              </w:rPr>
              <w:t>17.5%</w:t>
            </w:r>
          </w:p>
        </w:tc>
        <w:tc>
          <w:tcPr>
            <w:tcW w:type="dxa" w:w="1080"/>
          </w:tcPr>
          <w:p>
            <w:r>
              <w:rPr>
                <w:sz w:val="18"/>
              </w:rPr>
              <w:t>60.2%</w:t>
            </w:r>
          </w:p>
        </w:tc>
        <w:tc>
          <w:tcPr>
            <w:tcW w:type="dxa" w:w="1500"/>
          </w:tcPr>
          <w:p>
            <w:r>
              <w:rPr>
                <w:sz w:val="18"/>
              </w:rPr>
              <w:t>999</w:t>
            </w:r>
          </w:p>
        </w:tc>
      </w:tr>
      <w:tr>
        <w:tc>
          <w:tcPr>
            <w:tcW w:type="dxa" w:w="1620"/>
          </w:tcPr>
          <w:p>
            <w:r>
              <w:rPr>
                <w:sz w:val="18"/>
              </w:rPr>
              <w:t>Aave</w:t>
            </w:r>
          </w:p>
        </w:tc>
        <w:tc>
          <w:tcPr>
            <w:tcW w:type="dxa" w:w="1200"/>
          </w:tcPr>
          <w:p>
            <w:r>
              <w:rPr>
                <w:sz w:val="18"/>
              </w:rPr>
              <w:t>AAVE</w:t>
            </w:r>
          </w:p>
        </w:tc>
        <w:tc>
          <w:tcPr>
            <w:tcW w:type="dxa" w:w="1080"/>
          </w:tcPr>
          <w:p>
            <w:r>
              <w:rPr>
                <w:sz w:val="18"/>
              </w:rPr>
              <w:t>DeFi</w:t>
            </w:r>
          </w:p>
        </w:tc>
        <w:tc>
          <w:tcPr>
            <w:tcW w:type="dxa" w:w="960"/>
          </w:tcPr>
          <w:p>
            <w:r>
              <w:rPr>
                <w:sz w:val="18"/>
              </w:rPr>
              <w:t>0.020</w:t>
            </w:r>
          </w:p>
        </w:tc>
        <w:tc>
          <w:tcPr>
            <w:tcW w:type="dxa" w:w="960"/>
          </w:tcPr>
          <w:p>
            <w:r>
              <w:rPr>
                <w:sz w:val="18"/>
              </w:rPr>
              <w:t>0.88</w:t>
            </w:r>
          </w:p>
        </w:tc>
        <w:tc>
          <w:tcPr>
            <w:tcW w:type="dxa" w:w="960"/>
          </w:tcPr>
          <w:p>
            <w:r>
              <w:rPr>
                <w:sz w:val="18"/>
              </w:rPr>
              <w:t>7.5%¶</w:t>
            </w:r>
          </w:p>
        </w:tc>
        <w:tc>
          <w:tcPr>
            <w:tcW w:type="dxa" w:w="1080"/>
          </w:tcPr>
          <w:p>
            <w:pPr/>
            <w:del w:id="1029" w:author="Zach Zukowski (R1 revision)" w:date="2026-05-10T00:00:00Z">
              <w:r>
                <w:rPr>
                  <w:strike w:val="true"/>
                  <w:color w:val="C00000"/>
                </w:rPr>
                <w:delText xml:space="preserve">47.6%</w:delText>
              </w:r>
            </w:del>
            <w:ins w:id="1030" w:author="Zach Zukowski (R1 revision)" w:date="2026-05-10T00:00:00Z">
              <w:r>
                <w:rPr>
                  <w:color w:val="0070C0"/>
                </w:rPr>
                <w:t xml:space="preserve">34.9%¶</w:t>
              </w:r>
            </w:ins>
          </w:p>
        </w:tc>
        <w:tc>
          <w:tcPr>
            <w:tcW w:type="dxa" w:w="1500"/>
          </w:tcPr>
          <w:p>
            <w:r>
              <w:rPr>
                <w:sz w:val="18"/>
              </w:rPr>
              <w:t>1000</w:t>
            </w:r>
          </w:p>
        </w:tc>
      </w:tr>
      <w:tr>
        <w:tc>
          <w:tcPr>
            <w:tcW w:type="dxa" w:w="1620"/>
          </w:tcPr>
          <w:p>
            <w:r>
              <w:rPr>
                <w:sz w:val="18"/>
              </w:rPr>
              <w:t>Ether.Fi</w:t>
            </w:r>
          </w:p>
        </w:tc>
        <w:tc>
          <w:tcPr>
            <w:tcW w:type="dxa" w:w="1200"/>
          </w:tcPr>
          <w:p>
            <w:r>
              <w:rPr>
                <w:sz w:val="18"/>
              </w:rPr>
              <w:t>ETHFI</w:t>
            </w:r>
          </w:p>
        </w:tc>
        <w:tc>
          <w:tcPr>
            <w:tcW w:type="dxa" w:w="1080"/>
          </w:tcPr>
          <w:p>
            <w:r>
              <w:rPr>
                <w:sz w:val="18"/>
              </w:rPr>
              <w:t>DeFi</w:t>
            </w:r>
          </w:p>
        </w:tc>
        <w:tc>
          <w:tcPr>
            <w:tcW w:type="dxa" w:w="960"/>
          </w:tcPr>
          <w:p>
            <w:r>
              <w:rPr>
                <w:sz w:val="18"/>
              </w:rPr>
              <w:t>0.0668</w:t>
            </w:r>
          </w:p>
        </w:tc>
        <w:tc>
          <w:tcPr>
            <w:tcW w:type="dxa" w:w="960"/>
          </w:tcPr>
          <w:p>
            <w:r>
              <w:rPr>
                <w:sz w:val="18"/>
              </w:rPr>
              <w:t>0.95</w:t>
            </w:r>
          </w:p>
        </w:tc>
        <w:tc>
          <w:tcPr>
            <w:tcW w:type="dxa" w:w="960"/>
          </w:tcPr>
          <w:p>
            <w:r>
              <w:rPr>
                <w:sz w:val="18"/>
              </w:rPr>
              <w:t>19.0%</w:t>
            </w:r>
          </w:p>
        </w:tc>
        <w:tc>
          <w:tcPr>
            <w:tcW w:type="dxa" w:w="1080"/>
          </w:tcPr>
          <w:p>
            <w:r>
              <w:rPr>
                <w:sz w:val="18"/>
              </w:rPr>
              <w:t>59.9%</w:t>
            </w:r>
          </w:p>
        </w:tc>
        <w:tc>
          <w:tcPr>
            <w:tcW w:type="dxa" w:w="1500"/>
          </w:tcPr>
          <w:p>
            <w:r>
              <w:rPr>
                <w:sz w:val="18"/>
              </w:rPr>
              <w:t>1000</w:t>
            </w:r>
          </w:p>
        </w:tc>
      </w:tr>
      <w:tr>
        <w:tc>
          <w:tcPr>
            <w:tcW w:type="dxa" w:w="1620"/>
          </w:tcPr>
          <w:p>
            <w:r>
              <w:rPr>
                <w:sz w:val="18"/>
              </w:rPr>
              <w:t>Uniswap</w:t>
            </w:r>
          </w:p>
        </w:tc>
        <w:tc>
          <w:tcPr>
            <w:tcW w:type="dxa" w:w="1200"/>
          </w:tcPr>
          <w:p>
            <w:r>
              <w:rPr>
                <w:sz w:val="18"/>
              </w:rPr>
              <w:t>UNI</w:t>
            </w:r>
          </w:p>
        </w:tc>
        <w:tc>
          <w:tcPr>
            <w:tcW w:type="dxa" w:w="1080"/>
          </w:tcPr>
          <w:p>
            <w:r>
              <w:rPr>
                <w:sz w:val="18"/>
              </w:rPr>
              <w:t>DeFi</w:t>
            </w:r>
          </w:p>
        </w:tc>
        <w:tc>
          <w:tcPr>
            <w:tcW w:type="dxa" w:w="960"/>
          </w:tcPr>
          <w:p>
            <w:pPr/>
            <w:del w:id="1027" w:author="Zach Zukowski (R1 revision)" w:date="2026-05-10T00:00:00Z">
              <w:r>
                <w:rPr>
                  <w:strike w:val="true"/>
                  <w:color w:val="C00000"/>
                </w:rPr>
                <w:delText xml:space="preserve">0.032</w:delText>
              </w:r>
            </w:del>
            <w:ins w:id="1028" w:author="Zach Zukowski (R1 revision)" w:date="2026-05-10T00:00:00Z">
              <w:r>
                <w:rPr>
                  <w:color w:val="0070C0"/>
                </w:rPr>
                <w:t xml:space="preserve">0.010¶</w:t>
              </w:r>
            </w:ins>
          </w:p>
        </w:tc>
        <w:tc>
          <w:tcPr>
            <w:tcW w:type="dxa" w:w="960"/>
          </w:tcPr>
          <w:p>
            <w:r>
              <w:rPr>
                <w:sz w:val="18"/>
              </w:rPr>
              <w:t>0.89</w:t>
            </w:r>
          </w:p>
        </w:tc>
        <w:tc>
          <w:tcPr>
            <w:tcW w:type="dxa" w:w="960"/>
          </w:tcPr>
          <w:p>
            <w:r>
              <w:rPr>
                <w:sz w:val="18"/>
              </w:rPr>
              <w:t>4.2%¶</w:t>
            </w:r>
          </w:p>
        </w:tc>
        <w:tc>
          <w:tcPr>
            <w:tcW w:type="dxa" w:w="1080"/>
          </w:tcPr>
          <w:p>
            <w:pPr/>
            <w:del w:id="1031" w:author="Zach Zukowski (R1 revision)" w:date="2026-05-10T00:00:00Z">
              <w:r>
                <w:rPr>
                  <w:strike w:val="true"/>
                  <w:color w:val="C00000"/>
                </w:rPr>
                <w:delText xml:space="preserve">52.1%</w:delText>
              </w:r>
            </w:del>
            <w:ins w:id="1032" w:author="Zach Zukowski (R1 revision)" w:date="2026-05-10T00:00:00Z">
              <w:r>
                <w:rPr>
                  <w:color w:val="0070C0"/>
                </w:rPr>
                <w:t xml:space="preserve">22.9%¶</w:t>
              </w:r>
            </w:ins>
          </w:p>
        </w:tc>
        <w:tc>
          <w:tcPr>
            <w:tcW w:type="dxa" w:w="1500"/>
          </w:tcPr>
          <w:p>
            <w:r>
              <w:rPr>
                <w:sz w:val="18"/>
              </w:rPr>
              <w:t>1000</w:t>
            </w:r>
          </w:p>
        </w:tc>
      </w:tr>
      <w:tr>
        <w:tc>
          <w:tcPr>
            <w:tcW w:type="dxa" w:w="1620"/>
          </w:tcPr>
          <w:p>
            <w:r>
              <w:rPr>
                <w:sz w:val="18"/>
              </w:rPr>
              <w:t>Drift</w:t>
            </w:r>
          </w:p>
        </w:tc>
        <w:tc>
          <w:tcPr>
            <w:tcW w:type="dxa" w:w="1200"/>
          </w:tcPr>
          <w:p>
            <w:r>
              <w:rPr>
                <w:sz w:val="18"/>
              </w:rPr>
              <w:t>DRIFT</w:t>
            </w:r>
          </w:p>
        </w:tc>
        <w:tc>
          <w:tcPr>
            <w:tcW w:type="dxa" w:w="1080"/>
          </w:tcPr>
          <w:p>
            <w:r>
              <w:rPr>
                <w:sz w:val="18"/>
              </w:rPr>
              <w:t>DeFi</w:t>
            </w:r>
          </w:p>
        </w:tc>
        <w:tc>
          <w:tcPr>
            <w:tcW w:type="dxa" w:w="960"/>
          </w:tcPr>
          <w:p>
            <w:r>
              <w:rPr>
                <w:sz w:val="18"/>
              </w:rPr>
              <w:t>0.1011</w:t>
            </w:r>
          </w:p>
        </w:tc>
        <w:tc>
          <w:tcPr>
            <w:tcW w:type="dxa" w:w="960"/>
          </w:tcPr>
          <w:p>
            <w:r>
              <w:rPr>
                <w:sz w:val="18"/>
              </w:rPr>
              <w:t>0.94</w:t>
            </w:r>
          </w:p>
        </w:tc>
        <w:tc>
          <w:tcPr>
            <w:tcW w:type="dxa" w:w="960"/>
          </w:tcPr>
          <w:p>
            <w:r>
              <w:rPr>
                <w:sz w:val="18"/>
              </w:rPr>
              <w:t>27.0%</w:t>
            </w:r>
          </w:p>
        </w:tc>
        <w:tc>
          <w:tcPr>
            <w:tcW w:type="dxa" w:w="1080"/>
          </w:tcPr>
          <w:p>
            <w:r>
              <w:rPr>
                <w:sz w:val="18"/>
              </w:rPr>
              <w:t>61.7%</w:t>
            </w:r>
          </w:p>
        </w:tc>
        <w:tc>
          <w:tcPr>
            <w:tcW w:type="dxa" w:w="1500"/>
          </w:tcPr>
          <w:p>
            <w:r>
              <w:rPr>
                <w:sz w:val="18"/>
              </w:rPr>
              <w:t>1000</w:t>
            </w:r>
          </w:p>
        </w:tc>
      </w:tr>
      <w:tr>
        <w:tc>
          <w:tcPr>
            <w:tcW w:type="dxa" w:w="1620"/>
          </w:tcPr>
          <w:p>
            <w:r>
              <w:rPr>
                <w:sz w:val="18"/>
              </w:rPr>
              <w:t>Jupiter</w:t>
            </w:r>
          </w:p>
        </w:tc>
        <w:tc>
          <w:tcPr>
            <w:tcW w:type="dxa" w:w="1200"/>
          </w:tcPr>
          <w:p>
            <w:r>
              <w:rPr>
                <w:sz w:val="18"/>
              </w:rPr>
              <w:t>JUP</w:t>
            </w:r>
          </w:p>
        </w:tc>
        <w:tc>
          <w:tcPr>
            <w:tcW w:type="dxa" w:w="1080"/>
          </w:tcPr>
          <w:p>
            <w:r>
              <w:rPr>
                <w:sz w:val="18"/>
              </w:rPr>
              <w:t>DeFi</w:t>
            </w:r>
          </w:p>
        </w:tc>
        <w:tc>
          <w:tcPr>
            <w:tcW w:type="dxa" w:w="960"/>
          </w:tcPr>
          <w:p>
            <w:r>
              <w:rPr>
                <w:sz w:val="18"/>
              </w:rPr>
              <w:t>0.1166</w:t>
            </w:r>
          </w:p>
        </w:tc>
        <w:tc>
          <w:tcPr>
            <w:tcW w:type="dxa" w:w="960"/>
          </w:tcPr>
          <w:p>
            <w:r>
              <w:rPr>
                <w:sz w:val="18"/>
              </w:rPr>
              <w:t>0.98</w:t>
            </w:r>
          </w:p>
        </w:tc>
        <w:tc>
          <w:tcPr>
            <w:tcW w:type="dxa" w:w="960"/>
          </w:tcPr>
          <w:p>
            <w:r>
              <w:rPr>
                <w:sz w:val="18"/>
              </w:rPr>
              <w:t>25.1%</w:t>
            </w:r>
          </w:p>
        </w:tc>
        <w:tc>
          <w:tcPr>
            <w:tcW w:type="dxa" w:w="1080"/>
          </w:tcPr>
          <w:p>
            <w:r>
              <w:rPr>
                <w:sz w:val="18"/>
              </w:rPr>
              <w:t>75.0%</w:t>
            </w:r>
          </w:p>
        </w:tc>
        <w:tc>
          <w:tcPr>
            <w:tcW w:type="dxa" w:w="1500"/>
          </w:tcPr>
          <w:p>
            <w:r>
              <w:rPr>
                <w:sz w:val="18"/>
              </w:rPr>
              <w:t>1000</w:t>
            </w:r>
          </w:p>
        </w:tc>
      </w:tr>
      <w:tr>
        <w:tc>
          <w:tcPr>
            <w:tcW w:type="dxa" w:w="1620"/>
          </w:tcPr>
          <w:p>
            <w:r>
              <w:rPr>
                <w:sz w:val="18"/>
              </w:rPr>
              <w:t>Curve</w:t>
            </w:r>
          </w:p>
        </w:tc>
        <w:tc>
          <w:tcPr>
            <w:tcW w:type="dxa" w:w="1200"/>
          </w:tcPr>
          <w:p>
            <w:r>
              <w:rPr>
                <w:sz w:val="18"/>
              </w:rPr>
              <w:t>CRV</w:t>
            </w:r>
          </w:p>
        </w:tc>
        <w:tc>
          <w:tcPr>
            <w:tcW w:type="dxa" w:w="1080"/>
          </w:tcPr>
          <w:p>
            <w:r>
              <w:rPr>
                <w:sz w:val="18"/>
              </w:rPr>
              <w:t>DeFi</w:t>
            </w:r>
          </w:p>
        </w:tc>
        <w:tc>
          <w:tcPr>
            <w:tcW w:type="dxa" w:w="960"/>
          </w:tcPr>
          <w:p>
            <w:pPr/>
            <w:del w:id="1025" w:author="Zach Zukowski (R1 revision)" w:date="2026-05-10T00:00:00Z">
              <w:r>
                <w:rPr>
                  <w:strike w:val="true"/>
                  <w:color w:val="C00000"/>
                </w:rPr>
                <w:delText xml:space="preserve">0.1706</w:delText>
              </w:r>
            </w:del>
            <w:ins w:id="1026" w:author="Zach Zukowski (R1 revision)" w:date="2026-05-10T00:00:00Z">
              <w:r>
                <w:rPr>
                  <w:color w:val="0070C0"/>
                </w:rPr>
                <w:t xml:space="preserve">0.017¶</w:t>
              </w:r>
            </w:ins>
          </w:p>
        </w:tc>
        <w:tc>
          <w:tcPr>
            <w:tcW w:type="dxa" w:w="960"/>
          </w:tcPr>
          <w:p>
            <w:r>
              <w:rPr>
                <w:sz w:val="18"/>
              </w:rPr>
              <w:t>0.89</w:t>
            </w:r>
          </w:p>
        </w:tc>
        <w:tc>
          <w:tcPr>
            <w:tcW w:type="dxa" w:w="960"/>
          </w:tcPr>
          <w:p>
            <w:r>
              <w:rPr>
                <w:sz w:val="18"/>
              </w:rPr>
              <w:t>6.7%</w:t>
            </w:r>
          </w:p>
        </w:tc>
        <w:tc>
          <w:tcPr>
            <w:tcW w:type="dxa" w:w="1080"/>
          </w:tcPr>
          <w:p>
            <w:r>
              <w:rPr>
                <w:sz w:val="18"/>
              </w:rPr>
              <w:t>60.7%</w:t>
            </w:r>
          </w:p>
        </w:tc>
        <w:tc>
          <w:tcPr>
            <w:tcW w:type="dxa" w:w="1500"/>
          </w:tcPr>
          <w:p>
            <w:r>
              <w:rPr>
                <w:sz w:val="18"/>
              </w:rPr>
              <w:t>1000</w:t>
            </w:r>
          </w:p>
        </w:tc>
      </w:tr>
      <w:tr>
        <w:tc>
          <w:tcPr>
            <w:tcW w:type="dxa" w:w="1620"/>
          </w:tcPr>
          <w:p>
            <w:r>
              <w:rPr>
                <w:sz w:val="18"/>
              </w:rPr>
              <w:t>Axelar</w:t>
            </w:r>
          </w:p>
        </w:tc>
        <w:tc>
          <w:tcPr>
            <w:tcW w:type="dxa" w:w="1200"/>
          </w:tcPr>
          <w:p>
            <w:r>
              <w:rPr>
                <w:sz w:val="18"/>
              </w:rPr>
              <w:t>AXL</w:t>
            </w:r>
          </w:p>
        </w:tc>
        <w:tc>
          <w:tcPr>
            <w:tcW w:type="dxa" w:w="1080"/>
          </w:tcPr>
          <w:p>
            <w:r>
              <w:rPr>
                <w:sz w:val="18"/>
              </w:rPr>
              <w:t>L1/L2/Infra</w:t>
            </w:r>
          </w:p>
        </w:tc>
        <w:tc>
          <w:tcPr>
            <w:tcW w:type="dxa" w:w="960"/>
          </w:tcPr>
          <w:p>
            <w:r>
              <w:rPr>
                <w:sz w:val="18"/>
              </w:rPr>
              <w:t>0.0277</w:t>
            </w:r>
          </w:p>
        </w:tc>
        <w:tc>
          <w:tcPr>
            <w:tcW w:type="dxa" w:w="960"/>
          </w:tcPr>
          <w:p>
            <w:r>
              <w:rPr>
                <w:sz w:val="18"/>
              </w:rPr>
              <w:t>0.85</w:t>
            </w:r>
          </w:p>
        </w:tc>
        <w:tc>
          <w:tcPr>
            <w:tcW w:type="dxa" w:w="960"/>
          </w:tcPr>
          <w:p>
            <w:r>
              <w:rPr>
                <w:sz w:val="18"/>
              </w:rPr>
              <w:t>9.2%</w:t>
            </w:r>
          </w:p>
        </w:tc>
        <w:tc>
          <w:tcPr>
            <w:tcW w:type="dxa" w:w="1080"/>
          </w:tcPr>
          <w:p>
            <w:r>
              <w:rPr>
                <w:sz w:val="18"/>
              </w:rPr>
              <w:t>42.7%</w:t>
            </w:r>
          </w:p>
        </w:tc>
        <w:tc>
          <w:tcPr>
            <w:tcW w:type="dxa" w:w="1500"/>
          </w:tcPr>
          <w:p>
            <w:r>
              <w:rPr>
                <w:sz w:val="18"/>
              </w:rPr>
              <w:t>994</w:t>
            </w:r>
          </w:p>
        </w:tc>
      </w:tr>
      <w:tr>
        <w:tc>
          <w:tcPr>
            <w:tcW w:type="dxa" w:w="1620"/>
          </w:tcPr>
          <w:p>
            <w:r>
              <w:rPr>
                <w:sz w:val="18"/>
              </w:rPr>
              <w:t>LayerZero</w:t>
            </w:r>
          </w:p>
        </w:tc>
        <w:tc>
          <w:tcPr>
            <w:tcW w:type="dxa" w:w="1200"/>
          </w:tcPr>
          <w:p>
            <w:r>
              <w:rPr>
                <w:sz w:val="18"/>
              </w:rPr>
              <w:t>ZRO</w:t>
            </w:r>
          </w:p>
        </w:tc>
        <w:tc>
          <w:tcPr>
            <w:tcW w:type="dxa" w:w="1080"/>
          </w:tcPr>
          <w:p>
            <w:r>
              <w:rPr>
                <w:sz w:val="18"/>
              </w:rPr>
              <w:t>L1/L2/Infra</w:t>
            </w:r>
          </w:p>
        </w:tc>
        <w:tc>
          <w:tcPr>
            <w:tcW w:type="dxa" w:w="960"/>
          </w:tcPr>
          <w:p>
            <w:r>
              <w:rPr>
                <w:sz w:val="18"/>
              </w:rPr>
              <w:t>0.0147</w:t>
            </w:r>
          </w:p>
        </w:tc>
        <w:tc>
          <w:tcPr>
            <w:tcW w:type="dxa" w:w="960"/>
          </w:tcPr>
          <w:p>
            <w:r>
              <w:rPr>
                <w:sz w:val="18"/>
              </w:rPr>
              <w:t>0.89</w:t>
            </w:r>
          </w:p>
        </w:tc>
        <w:tc>
          <w:tcPr>
            <w:tcW w:type="dxa" w:w="960"/>
          </w:tcPr>
          <w:p>
            <w:r>
              <w:rPr>
                <w:sz w:val="18"/>
              </w:rPr>
              <w:t>4.1%</w:t>
            </w:r>
          </w:p>
        </w:tc>
        <w:tc>
          <w:tcPr>
            <w:tcW w:type="dxa" w:w="1080"/>
          </w:tcPr>
          <w:p>
            <w:r>
              <w:rPr>
                <w:sz w:val="18"/>
              </w:rPr>
              <w:t>30.5%</w:t>
            </w:r>
          </w:p>
        </w:tc>
        <w:tc>
          <w:tcPr>
            <w:tcW w:type="dxa" w:w="1500"/>
          </w:tcPr>
          <w:p>
            <w:r>
              <w:rPr>
                <w:sz w:val="18"/>
              </w:rPr>
              <w:t>989</w:t>
            </w:r>
          </w:p>
        </w:tc>
      </w:tr>
      <w:tr>
        <w:tc>
          <w:tcPr>
            <w:tcW w:type="dxa" w:w="1620"/>
          </w:tcPr>
          <w:p>
            <w:r>
              <w:rPr>
                <w:sz w:val="18"/>
              </w:rPr>
              <w:t>Wormhole</w:t>
            </w:r>
          </w:p>
        </w:tc>
        <w:tc>
          <w:tcPr>
            <w:tcW w:type="dxa" w:w="1200"/>
          </w:tcPr>
          <w:p>
            <w:r>
              <w:rPr>
                <w:sz w:val="18"/>
              </w:rPr>
              <w:t>W</w:t>
            </w:r>
          </w:p>
        </w:tc>
        <w:tc>
          <w:tcPr>
            <w:tcW w:type="dxa" w:w="1080"/>
          </w:tcPr>
          <w:p>
            <w:r>
              <w:rPr>
                <w:sz w:val="18"/>
              </w:rPr>
              <w:t>L1/L2/Infra</w:t>
            </w:r>
          </w:p>
        </w:tc>
        <w:tc>
          <w:tcPr>
            <w:tcW w:type="dxa" w:w="960"/>
          </w:tcPr>
          <w:p>
            <w:r>
              <w:rPr>
                <w:sz w:val="18"/>
              </w:rPr>
              <w:t>0.0149</w:t>
            </w:r>
          </w:p>
        </w:tc>
        <w:tc>
          <w:tcPr>
            <w:tcW w:type="dxa" w:w="960"/>
          </w:tcPr>
          <w:p>
            <w:r>
              <w:rPr>
                <w:sz w:val="18"/>
              </w:rPr>
              <w:t>0.87</w:t>
            </w:r>
          </w:p>
        </w:tc>
        <w:tc>
          <w:tcPr>
            <w:tcW w:type="dxa" w:w="960"/>
          </w:tcPr>
          <w:p>
            <w:r>
              <w:rPr>
                <w:sz w:val="18"/>
              </w:rPr>
              <w:t>7.0%</w:t>
            </w:r>
          </w:p>
        </w:tc>
        <w:tc>
          <w:tcPr>
            <w:tcW w:type="dxa" w:w="1080"/>
          </w:tcPr>
          <w:p>
            <w:r>
              <w:rPr>
                <w:sz w:val="18"/>
              </w:rPr>
              <w:t>23.8%</w:t>
            </w:r>
          </w:p>
        </w:tc>
        <w:tc>
          <w:tcPr>
            <w:tcW w:type="dxa" w:w="1500"/>
          </w:tcPr>
          <w:p>
            <w:r>
              <w:rPr>
                <w:sz w:val="18"/>
              </w:rPr>
              <w:t>1000</w:t>
            </w:r>
          </w:p>
        </w:tc>
      </w:tr>
      <w:tr>
        <w:tc>
          <w:tcPr>
            <w:tcW w:type="dxa" w:w="1620"/>
          </w:tcPr>
          <w:p>
            <w:r>
              <w:rPr>
                <w:sz w:val="18"/>
              </w:rPr>
              <w:t>Polygon</w:t>
            </w:r>
          </w:p>
        </w:tc>
        <w:tc>
          <w:tcPr>
            <w:tcW w:type="dxa" w:w="1200"/>
          </w:tcPr>
          <w:p>
            <w:r>
              <w:rPr>
                <w:sz w:val="18"/>
              </w:rPr>
              <w:t>POL</w:t>
            </w:r>
          </w:p>
        </w:tc>
        <w:tc>
          <w:tcPr>
            <w:tcW w:type="dxa" w:w="1080"/>
          </w:tcPr>
          <w:p>
            <w:r>
              <w:rPr>
                <w:sz w:val="18"/>
              </w:rPr>
              <w:t>L1/L2/Infra</w:t>
            </w:r>
          </w:p>
        </w:tc>
        <w:tc>
          <w:tcPr>
            <w:tcW w:type="dxa" w:w="960"/>
          </w:tcPr>
          <w:p>
            <w:r>
              <w:rPr>
                <w:sz w:val="18"/>
              </w:rPr>
              <w:t>0.0348</w:t>
            </w:r>
          </w:p>
        </w:tc>
        <w:tc>
          <w:tcPr>
            <w:tcW w:type="dxa" w:w="960"/>
          </w:tcPr>
          <w:p>
            <w:r>
              <w:rPr>
                <w:sz w:val="18"/>
              </w:rPr>
              <w:t>0.92</w:t>
            </w:r>
          </w:p>
        </w:tc>
        <w:tc>
          <w:tcPr>
            <w:tcW w:type="dxa" w:w="960"/>
          </w:tcPr>
          <w:p>
            <w:r>
              <w:rPr>
                <w:sz w:val="18"/>
              </w:rPr>
              <w:t>12.1%</w:t>
            </w:r>
          </w:p>
        </w:tc>
        <w:tc>
          <w:tcPr>
            <w:tcW w:type="dxa" w:w="1080"/>
          </w:tcPr>
          <w:p>
            <w:r>
              <w:rPr>
                <w:sz w:val="18"/>
              </w:rPr>
              <w:t>49.5%</w:t>
            </w:r>
          </w:p>
        </w:tc>
        <w:tc>
          <w:tcPr>
            <w:tcW w:type="dxa" w:w="1500"/>
          </w:tcPr>
          <w:p>
            <w:r>
              <w:rPr>
                <w:sz w:val="18"/>
              </w:rPr>
              <w:t>998</w:t>
            </w:r>
          </w:p>
        </w:tc>
      </w:tr>
      <w:tr>
        <w:tc>
          <w:tcPr>
            <w:tcW w:type="dxa" w:w="1620"/>
          </w:tcPr>
          <w:p>
            <w:r>
              <w:rPr>
                <w:sz w:val="18"/>
              </w:rPr>
              <w:t>Arbitrum</w:t>
            </w:r>
          </w:p>
        </w:tc>
        <w:tc>
          <w:tcPr>
            <w:tcW w:type="dxa" w:w="1200"/>
          </w:tcPr>
          <w:p>
            <w:r>
              <w:rPr>
                <w:sz w:val="18"/>
              </w:rPr>
              <w:t>ARB</w:t>
            </w:r>
          </w:p>
        </w:tc>
        <w:tc>
          <w:tcPr>
            <w:tcW w:type="dxa" w:w="1080"/>
          </w:tcPr>
          <w:p>
            <w:r>
              <w:rPr>
                <w:sz w:val="18"/>
              </w:rPr>
              <w:t>L1/L2/Infra</w:t>
            </w:r>
          </w:p>
        </w:tc>
        <w:tc>
          <w:tcPr>
            <w:tcW w:type="dxa" w:w="960"/>
          </w:tcPr>
          <w:p>
            <w:r>
              <w:rPr>
                <w:sz w:val="18"/>
              </w:rPr>
              <w:t>0.012</w:t>
            </w:r>
          </w:p>
        </w:tc>
        <w:tc>
          <w:tcPr>
            <w:tcW w:type="dxa" w:w="960"/>
          </w:tcPr>
          <w:p>
            <w:r>
              <w:rPr>
                <w:sz w:val="18"/>
              </w:rPr>
              <w:t>0.83</w:t>
            </w:r>
          </w:p>
        </w:tc>
        <w:tc>
          <w:tcPr>
            <w:tcW w:type="dxa" w:w="960"/>
          </w:tcPr>
          <w:p>
            <w:r>
              <w:rPr>
                <w:sz w:val="18"/>
              </w:rPr>
              <w:t>8.6%¶</w:t>
            </w:r>
          </w:p>
        </w:tc>
        <w:tc>
          <w:tcPr>
            <w:tcW w:type="dxa" w:w="1080"/>
          </w:tcPr>
          <w:p>
            <w:pPr/>
            <w:del w:id="1033" w:author="Zach Zukowski (R1 revision)" w:date="2026-05-10T00:00:00Z">
              <w:r>
                <w:rPr>
                  <w:strike w:val="true"/>
                  <w:color w:val="C00000"/>
                </w:rPr>
                <w:delText xml:space="preserve">47.2%</w:delText>
              </w:r>
            </w:del>
            <w:ins w:id="1034" w:author="Zach Zukowski (R1 revision)" w:date="2026-05-10T00:00:00Z">
              <w:r>
                <w:rPr>
                  <w:color w:val="0070C0"/>
                </w:rPr>
                <w:t xml:space="preserve">22.4%¶</w:t>
              </w:r>
            </w:ins>
          </w:p>
        </w:tc>
        <w:tc>
          <w:tcPr>
            <w:tcW w:type="dxa" w:w="1500"/>
          </w:tcPr>
          <w:p>
            <w:r>
              <w:rPr>
                <w:sz w:val="18"/>
              </w:rPr>
              <w:t>1000</w:t>
            </w:r>
          </w:p>
        </w:tc>
      </w:tr>
      <w:tr>
        <w:tc>
          <w:tcPr>
            <w:tcW w:type="dxa" w:w="1620"/>
          </w:tcPr>
          <w:p>
            <w:r>
              <w:rPr>
                <w:sz w:val="18"/>
              </w:rPr>
              <w:t>The Graph</w:t>
            </w:r>
          </w:p>
        </w:tc>
        <w:tc>
          <w:tcPr>
            <w:tcW w:type="dxa" w:w="1200"/>
          </w:tcPr>
          <w:p>
            <w:r>
              <w:rPr>
                <w:sz w:val="18"/>
              </w:rPr>
              <w:t>GRT</w:t>
            </w:r>
          </w:p>
        </w:tc>
        <w:tc>
          <w:tcPr>
            <w:tcW w:type="dxa" w:w="1080"/>
          </w:tcPr>
          <w:p>
            <w:r>
              <w:rPr>
                <w:sz w:val="18"/>
              </w:rPr>
              <w:t>L1/L2/Infra</w:t>
            </w:r>
          </w:p>
        </w:tc>
        <w:tc>
          <w:tcPr>
            <w:tcW w:type="dxa" w:w="960"/>
          </w:tcPr>
          <w:p>
            <w:r>
              <w:rPr>
                <w:sz w:val="18"/>
              </w:rPr>
              <w:t>0.033</w:t>
            </w:r>
          </w:p>
        </w:tc>
        <w:tc>
          <w:tcPr>
            <w:tcW w:type="dxa" w:w="960"/>
          </w:tcPr>
          <w:p>
            <w:r>
              <w:rPr>
                <w:sz w:val="18"/>
              </w:rPr>
              <w:t>0.92</w:t>
            </w:r>
          </w:p>
        </w:tc>
        <w:tc>
          <w:tcPr>
            <w:tcW w:type="dxa" w:w="960"/>
          </w:tcPr>
          <w:p>
            <w:r>
              <w:rPr>
                <w:sz w:val="18"/>
              </w:rPr>
              <w:t>13.1%¶</w:t>
            </w:r>
          </w:p>
        </w:tc>
        <w:tc>
          <w:tcPr>
            <w:tcW w:type="dxa" w:w="1080"/>
          </w:tcPr>
          <w:p>
            <w:pPr/>
            <w:del w:id="1035" w:author="Zach Zukowski (R1 revision)" w:date="2026-05-10T00:00:00Z">
              <w:r>
                <w:rPr>
                  <w:strike w:val="true"/>
                  <w:color w:val="C00000"/>
                </w:rPr>
                <w:delText xml:space="preserve">59.7%</w:delText>
              </w:r>
            </w:del>
            <w:ins w:id="1036" w:author="Zach Zukowski (R1 revision)" w:date="2026-05-10T00:00:00Z">
              <w:r>
                <w:rPr>
                  <w:color w:val="0070C0"/>
                </w:rPr>
                <w:t xml:space="preserve">40.2%¶</w:t>
              </w:r>
            </w:ins>
          </w:p>
        </w:tc>
        <w:tc>
          <w:tcPr>
            <w:tcW w:type="dxa" w:w="1500"/>
          </w:tcPr>
          <w:p>
            <w:r>
              <w:rPr>
                <w:sz w:val="18"/>
              </w:rPr>
              <w:t>1000</w:t>
            </w:r>
          </w:p>
        </w:tc>
      </w:tr>
      <w:tr>
        <w:tc>
          <w:tcPr>
            <w:tcW w:type="dxa" w:w="1620"/>
          </w:tcPr>
          <w:p>
            <w:r>
              <w:rPr>
                <w:sz w:val="18"/>
              </w:rPr>
              <w:t>Optimism</w:t>
            </w:r>
          </w:p>
        </w:tc>
        <w:tc>
          <w:tcPr>
            <w:tcW w:type="dxa" w:w="1200"/>
          </w:tcPr>
          <w:p>
            <w:r>
              <w:rPr>
                <w:sz w:val="18"/>
              </w:rPr>
              <w:t>OP</w:t>
            </w:r>
          </w:p>
        </w:tc>
        <w:tc>
          <w:tcPr>
            <w:tcW w:type="dxa" w:w="1080"/>
          </w:tcPr>
          <w:p>
            <w:r>
              <w:rPr>
                <w:sz w:val="18"/>
              </w:rPr>
              <w:t>L1/L2/Infra</w:t>
            </w:r>
          </w:p>
        </w:tc>
        <w:tc>
          <w:tcPr>
            <w:tcW w:type="dxa" w:w="960"/>
          </w:tcPr>
          <w:p>
            <w:r>
              <w:rPr>
                <w:sz w:val="18"/>
              </w:rPr>
              <w:t>0.009</w:t>
            </w:r>
          </w:p>
        </w:tc>
        <w:tc>
          <w:tcPr>
            <w:tcW w:type="dxa" w:w="960"/>
          </w:tcPr>
          <w:p>
            <w:r>
              <w:rPr>
                <w:sz w:val="18"/>
              </w:rPr>
              <w:t>0.89</w:t>
            </w:r>
          </w:p>
        </w:tc>
        <w:tc>
          <w:tcPr>
            <w:tcW w:type="dxa" w:w="960"/>
          </w:tcPr>
          <w:p>
            <w:r>
              <w:rPr>
                <w:sz w:val="18"/>
              </w:rPr>
              <w:t>12.1%¶</w:t>
            </w:r>
          </w:p>
        </w:tc>
        <w:tc>
          <w:tcPr>
            <w:tcW w:type="dxa" w:w="1080"/>
          </w:tcPr>
          <w:p>
            <w:pPr/>
            <w:del w:id="1037" w:author="Zach Zukowski (R1 revision)" w:date="2026-05-10T00:00:00Z">
              <w:r>
                <w:rPr>
                  <w:strike w:val="true"/>
                  <w:color w:val="C00000"/>
                </w:rPr>
                <w:delText xml:space="preserve">60.8%</w:delText>
              </w:r>
            </w:del>
            <w:ins w:id="1038" w:author="Zach Zukowski (R1 revision)" w:date="2026-05-10T00:00:00Z">
              <w:r>
                <w:rPr>
                  <w:color w:val="0070C0"/>
                </w:rPr>
                <w:t xml:space="preserve">29.6%¶</w:t>
              </w:r>
            </w:ins>
          </w:p>
        </w:tc>
        <w:tc>
          <w:tcPr>
            <w:tcW w:type="dxa" w:w="1500"/>
          </w:tcPr>
          <w:p>
            <w:r>
              <w:rPr>
                <w:sz w:val="18"/>
              </w:rPr>
              <w:t>1000</w:t>
            </w:r>
          </w:p>
        </w:tc>
      </w:tr>
      <w:tr>
        <w:tc>
          <w:tcPr>
            <w:tcW w:type="dxa" w:w="1620"/>
          </w:tcPr>
          <w:p>
            <w:r>
              <w:rPr>
                <w:sz w:val="18"/>
              </w:rPr>
              <w:t>ENS</w:t>
            </w:r>
          </w:p>
        </w:tc>
        <w:tc>
          <w:tcPr>
            <w:tcW w:type="dxa" w:w="1200"/>
          </w:tcPr>
          <w:p>
            <w:r>
              <w:rPr>
                <w:sz w:val="18"/>
              </w:rPr>
              <w:t>ENS</w:t>
            </w:r>
          </w:p>
        </w:tc>
        <w:tc>
          <w:tcPr>
            <w:tcW w:type="dxa" w:w="1080"/>
          </w:tcPr>
          <w:p>
            <w:r>
              <w:rPr>
                <w:sz w:val="18"/>
              </w:rPr>
              <w:t>L1/L2/Infra</w:t>
            </w:r>
          </w:p>
        </w:tc>
        <w:tc>
          <w:tcPr>
            <w:tcW w:type="dxa" w:w="960"/>
          </w:tcPr>
          <w:p>
            <w:r>
              <w:rPr>
                <w:sz w:val="18"/>
              </w:rPr>
              <w:t>0.1345</w:t>
            </w:r>
          </w:p>
        </w:tc>
        <w:tc>
          <w:tcPr>
            <w:tcW w:type="dxa" w:w="960"/>
          </w:tcPr>
          <w:p>
            <w:r>
              <w:rPr>
                <w:sz w:val="18"/>
              </w:rPr>
              <w:t>0.94</w:t>
            </w:r>
          </w:p>
        </w:tc>
        <w:tc>
          <w:tcPr>
            <w:tcW w:type="dxa" w:w="960"/>
          </w:tcPr>
          <w:p>
            <w:r>
              <w:rPr>
                <w:sz w:val="18"/>
              </w:rPr>
              <w:t>26.7%</w:t>
            </w:r>
          </w:p>
        </w:tc>
        <w:tc>
          <w:tcPr>
            <w:tcW w:type="dxa" w:w="1080"/>
          </w:tcPr>
          <w:p>
            <w:r>
              <w:rPr>
                <w:sz w:val="18"/>
              </w:rPr>
              <w:t>75.5%</w:t>
            </w:r>
          </w:p>
        </w:tc>
        <w:tc>
          <w:tcPr>
            <w:tcW w:type="dxa" w:w="1500"/>
          </w:tcPr>
          <w:p>
            <w:r>
              <w:rPr>
                <w:sz w:val="18"/>
              </w:rPr>
              <w:t>999</w:t>
            </w:r>
          </w:p>
        </w:tc>
      </w:tr>
      <w:tr>
        <w:tc>
          <w:tcPr>
            <w:tcW w:type="dxa" w:w="1620"/>
          </w:tcPr>
          <w:p>
            <w:r>
              <w:rPr>
                <w:sz w:val="18"/>
              </w:rPr>
              <w:t>Token Engineering Commons ‡</w:t>
            </w:r>
          </w:p>
        </w:tc>
        <w:tc>
          <w:tcPr>
            <w:tcW w:type="dxa" w:w="1200"/>
          </w:tcPr>
          <w:p>
            <w:r>
              <w:rPr>
                <w:sz w:val="18"/>
              </w:rPr>
              <w:t>TEC</w:t>
            </w:r>
          </w:p>
        </w:tc>
        <w:tc>
          <w:tcPr>
            <w:tcW w:type="dxa" w:w="1080"/>
          </w:tcPr>
          <w:p>
            <w:r>
              <w:rPr>
                <w:sz w:val="18"/>
              </w:rPr>
              <w:t>Social</w:t>
            </w:r>
          </w:p>
        </w:tc>
        <w:tc>
          <w:tcPr>
            <w:tcW w:type="dxa" w:w="960"/>
          </w:tcPr>
          <w:p>
            <w:r>
              <w:rPr>
                <w:sz w:val="18"/>
              </w:rPr>
              <w:t>0.0278</w:t>
            </w:r>
          </w:p>
        </w:tc>
        <w:tc>
          <w:tcPr>
            <w:tcW w:type="dxa" w:w="960"/>
          </w:tcPr>
          <w:p>
            <w:r>
              <w:rPr>
                <w:sz w:val="18"/>
              </w:rPr>
              <w:t>0.91</w:t>
            </w:r>
          </w:p>
        </w:tc>
        <w:tc>
          <w:tcPr>
            <w:tcW w:type="dxa" w:w="960"/>
          </w:tcPr>
          <w:p>
            <w:r>
              <w:rPr>
                <w:sz w:val="18"/>
              </w:rPr>
              <w:t>9.2%</w:t>
            </w:r>
          </w:p>
        </w:tc>
        <w:tc>
          <w:tcPr>
            <w:tcW w:type="dxa" w:w="1080"/>
          </w:tcPr>
          <w:p>
            <w:r>
              <w:rPr>
                <w:sz w:val="18"/>
              </w:rPr>
              <w:t>44.2%</w:t>
            </w:r>
          </w:p>
        </w:tc>
        <w:tc>
          <w:tcPr>
            <w:tcW w:type="dxa" w:w="1500"/>
          </w:tcPr>
          <w:p>
            <w:r>
              <w:rPr>
                <w:sz w:val="18"/>
              </w:rPr>
              <w:t>742</w:t>
            </w:r>
          </w:p>
        </w:tc>
      </w:tr>
      <w:tr>
        <w:tc>
          <w:tcPr>
            <w:tcW w:type="dxa" w:w="1620"/>
          </w:tcPr>
          <w:p>
            <w:r>
              <w:rPr>
                <w:sz w:val="18"/>
              </w:rPr>
              <w:t>Gitcoin ‡</w:t>
            </w:r>
          </w:p>
        </w:tc>
        <w:tc>
          <w:tcPr>
            <w:tcW w:type="dxa" w:w="1200"/>
          </w:tcPr>
          <w:p>
            <w:r>
              <w:rPr>
                <w:sz w:val="18"/>
              </w:rPr>
              <w:t>GTC</w:t>
            </w:r>
          </w:p>
        </w:tc>
        <w:tc>
          <w:tcPr>
            <w:tcW w:type="dxa" w:w="1080"/>
          </w:tcPr>
          <w:p>
            <w:r>
              <w:rPr>
                <w:sz w:val="18"/>
              </w:rPr>
              <w:t>Social</w:t>
            </w:r>
          </w:p>
        </w:tc>
        <w:tc>
          <w:tcPr>
            <w:tcW w:type="dxa" w:w="960"/>
          </w:tcPr>
          <w:p>
            <w:r>
              <w:rPr>
                <w:sz w:val="18"/>
              </w:rPr>
              <w:t>0.0766</w:t>
            </w:r>
          </w:p>
        </w:tc>
        <w:tc>
          <w:tcPr>
            <w:tcW w:type="dxa" w:w="960"/>
          </w:tcPr>
          <w:p>
            <w:r>
              <w:rPr>
                <w:sz w:val="18"/>
              </w:rPr>
              <w:t>0.94</w:t>
            </w:r>
          </w:p>
        </w:tc>
        <w:tc>
          <w:tcPr>
            <w:tcW w:type="dxa" w:w="960"/>
          </w:tcPr>
          <w:p>
            <w:r>
              <w:rPr>
                <w:sz w:val="18"/>
              </w:rPr>
              <w:t>17.6%</w:t>
            </w:r>
          </w:p>
        </w:tc>
        <w:tc>
          <w:tcPr>
            <w:tcW w:type="dxa" w:w="1080"/>
          </w:tcPr>
          <w:p>
            <w:r>
              <w:rPr>
                <w:sz w:val="18"/>
              </w:rPr>
              <w:t>64.3%</w:t>
            </w:r>
          </w:p>
        </w:tc>
        <w:tc>
          <w:tcPr>
            <w:tcW w:type="dxa" w:w="1500"/>
          </w:tcPr>
          <w:p>
            <w:r>
              <w:rPr>
                <w:sz w:val="18"/>
              </w:rPr>
              <w:t>1000</w:t>
            </w:r>
          </w:p>
        </w:tc>
      </w:tr>
    </w:tbl>
    <w:p>
      <w:r>
        <w:rPr>
          <w:b/>
          <w:i/>
          <w:sz w:val="20"/>
        </w:rPr>
        <w:t xml:space="preserve">Table 4. </w:t>
      </w:r>
      <w:r>
        <w:rPr>
          <w:i/>
          <w:sz w:val="20"/>
        </w:rPr>
        <w:t>Governance concentration cross-section (March 2026 snapshot, Dune Analytics + Helius DAS API, top-1,000 holders per token, 69 protocol-controlled addresses excluded across 20 protocols).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included in Table 4 but excluded from the subsidy regression because the protocol has no token emissions; 97% of trading fees are routed to an Assistance Fund that purchases and permanently burns HYPE tokens, treated as a sink mechanism in the framework. Three additional DePIN protocols (Aethir, Hivemapper, io.net) appear in the cross-sector statistical tests reported in Section 3.3 with HHI values computed (0.171, 0.020, and 0.111 respectively) but lack the holder-level Gini and percentile data required for Table 4 reporting; their HHI values are noted in the relevant analysis sections.</w:t>
      </w:r>
    </w:p>
    <w:p>
      <w:pPr>
        <w:pStyle w:val="Normal"/>
        <w:rPr/>
        <w:rPr/>
      </w:pPr>
      <w:ins w:id="1048" w:author="Zach Zukowski (R1 revision)" w:date="2026-05-10T00:00:00Z">
        <w:r>
          <w:t xml:space="preserve">Table 4 footnotes:</w:t>
        </w:r>
      </w:ins>
    </w:p>
    <w:p>
      <w:pPr>
        <w:pStyle w:val="Normal"/>
        <w:rPr/>
        <w:rPr/>
      </w:pPr>
      <w:ins w:id="1048" w:author="Zach Zukowski (R1 revision)" w:date="2026-05-10T00:00:00Z">
        <w:r>
          <w:t xml:space="preserve">† = futarchy governance (MetaDAO).</w:t>
        </w:r>
      </w:ins>
    </w:p>
    <w:p>
      <w:pPr>
        <w:pStyle w:val="Normal"/>
        <w:rPr/>
        <w:rPr/>
      </w:pPr>
      <w:ins w:id="1048" w:author="Zach Zukowski (R1 revision)" w:date="2026-05-10T00:00:00Z">
        <w:r>
          <w:t xml:space="preserve">‡ (in protocol name column) = survivorship-bias control (TEC, Gitcoin).</w:t>
        </w:r>
      </w:ins>
    </w:p>
    <w:p>
      <w:pPr>
        <w:pStyle w:val="Normal"/>
        <w:rPr/>
        <w:rPr/>
      </w:pPr>
      <w:ins w:id="1048" w:author="Zach Zukowski (R1 revision)" w:date="2026-05-10T00:00:00Z">
        <w:r>
          <w:t xml:space="preserve">¶ (added in R1 revision) = updated post-exclusion value: HHI for Curve reflects raw CRV holdings (veCRV-weighted concentration is approximately 0.171 due to lock-duration multipliers); HHI for Uniswap reflects post-burn-rule exclusion of 0x000...dead (102.46M UNI, 11.27% of supply); Top-1% and Top-10% columns report post-exclusion shares for marked rows (AAVE, UNI, ARB, GRT, OP) per R1 reviewer methodological consistency request.</w:t>
        </w:r>
      </w:ins>
    </w:p>
    <w:p>
      <w:r>
        <w:rPr>
          <w:b w:val="0"/>
        </w:rPr>
        <w:t>HHI ranges from 0.005 to 0.199 across the full sample. Among DeFi governance tokens, HHI ranges from 0.005 (Hyperliquid, after excluding the Assistance Fund and burn addresses) to 0.171 (Curve). DePIN protocols span a similar range: 0.017 (Hivemapper) to 0.199 (Livepeer); Morpheus AI registers 0.031 after excluding four protocol-controlled addresses.</w:t>
      </w:r>
    </w:p>
    <w:p>
      <w:r>
        <w:rPr>
          <w:b w:val="0"/>
        </w:rPr>
        <w:t xml:space="preserve">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w:t>
      </w:r>
      <w:hyperlink r:id="rId23" w:history="1">
        <w:r>
          <w:rPr>
            <w:color w:val="0563C1"/>
            <w:u w:val="single"/>
          </w:rPr>
          <w:t xml:space="preserve">Supplementary File S6</w:t>
        </w:r>
      </w:hyperlink>
      <w:r>
        <w:rPr>
          <w:b w:val="0"/>
        </w:rPr>
        <w:t xml:space="preserve">) is particularly consequential for protocols with large foundation treasuries or exchange custodian addresses in the top-10 holders.</w:t>
      </w:r>
    </w:p>
    <w:p>
      <w:r>
        <w:rPr>
          <w:b w:val="0"/>
        </w:rPr>
        <w:t>Several protocols demonstrate that low governance concentration is achievable across sectors. Hyperliquid (HHI 0.005), Uniswap (0.010), and Lido (0.013) in DeFi; Optimism (0.009), Arbitrum (0.012), LayerZero (0.015), and Wormhole (0.015) in L1/L2 infrastructure; and Hivemapper (0.017) in DePIN all achieve HHI below 0.02. These counterexamples indicate that low governance concentration is achievable across multiple sectors, constraining explanations that treat high concentration as structurally inevitable in any single sector. The fourth sector, social token protocols, is too small in the sample (N = 2) to support independent sector-level claims.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 xml:space="preserve">3.3 DePIN vs. DeFi Contrast</w:t>
      </w:r>
    </w:p>
    <w:p>
      <w:r>
        <w:rPr>
          <w:b w:val="0"/>
        </w:rPr>
        <w:t xml:space="preserve">DePIN protocols have roughly twice the governance concentration of DeFi protocols (mean HHI 0.091 vs. 0.041; Mann-Whitney p = 0.014, Cohen’s d = 1.03, N = 15/15). The gap holds after adjusting for protocol age, valuation, and insider allocation (Table 6, Models 1-3). Prior review work documents that DePIN sectors vary in tokenomic architecture (Alshater, 2026): storage networks prioritize staking, wireless coverage emphasizes service verification, compute networks focus on billing. The concentration gap between DePIN and DeFi is not implied by this sectoral variation; it is a separate finding about who holds governance tokens.</w:t>
      </w:r>
    </w:p>
    <w:p>
      <w:r>
        <w:rPr>
          <w:b w:val="0"/>
        </w:rPr>
        <w:t>The sector difference is robust to sample composition: the Mann-Whitney result holds across all 30 leave-one-out (LOO) iterations, and a permutation test yields p = 0.009. One candidate mechanism: in capital-intensive networks, scale economies produce concentrated market shares (Arnosti &amp; Weinberg, 2022). Fleet operators deploying hundreds of devices achieve lower per-unit costs than solo participants, consistent with the concentration gap observed here.</w:t>
      </w:r>
    </w:p>
    <w:p>
      <w:pPr>
        <w:jc w:val="center"/>
      </w:pPr>
      <w:r>
        <w:drawing>
          <wp:inline distT="0" distB="0" distL="0" distR="0">
            <wp:extent cx="5943600" cy="6822885"/>
            <wp:docPr id="107" name="Figure 4"/>
            <a:graphic>
              <a:graphicData uri="http://schemas.openxmlformats.org/drawingml/2006/picture">
                <pic:pic>
                  <pic:nvPicPr>
                    <pic:cNvPr id="107" name="Figure 4"/>
                    <pic:cNvPicPr/>
                  </pic:nvPicPr>
                  <pic:blipFill>
                    <a:blip r:embed="rId16"/>
                    <a:stretch>
                      <a:fillRect/>
                    </a:stretch>
                  </pic:blipFill>
                  <pic:spPr>
                    <a:xfrm>
                      <a:off x="0" y="0"/>
                      <a:ext cx="5943600" cy="6822885"/>
                    </a:xfrm>
                    <a:prstGeom prst="rect">
                      <a:avLst/>
                    </a:prstGeom>
                  </pic:spPr>
                </pic:pic>
              </a:graphicData>
            </a:graphic>
          </wp:inline>
        </w:drawing>
      </w:r>
    </w:p>
    <w:p>
      <w:r>
        <w:rPr>
          <w:b/>
          <w:i/>
          <w:sz w:val="20"/>
        </w:rPr>
        <w:t xml:space="preserve">Figure 4. </w:t>
      </w:r>
      <w:r>
        <w:rPr>
          <w:i/>
          <w:sz w:val="20"/>
        </w:rPr>
        <w:t>Governance concentration (HHI) by sector. DePIN mean (0.091) exceeds DeFi mean (0.041), with distributions overlapping substantially: 8 of 15 DePIN protocols fall within the DeFi range. The Mann-Whitney test (p = 0.014, d = 1.03) is robust to sample composition (significant in all 30 leave-one-out iterations).</w:t>
      </w:r>
      <w:ins w:id="1057" w:author="Zach Zukowski (R1 revision)" w:date="2026-05-10T00:00:00Z">
        <w:r>
          <w:rPr>
            <w:color w:val="0070C0"/>
          </w:rPr>
          <w:t xml:space="preserve"> Reading the figure: box plots show concentration distribution within each sector; the DePIN-DeFi gap is visible in median position despite tail overlap.</w:t>
        </w:r>
      </w:ins>
    </w:p>
    <w:p>
      <w:r>
        <w:rPr>
          <w:b w:val="0"/>
        </w:rPr>
        <w:t xml:space="preserve">DePIN governance concentration is also significantly higher than L1/L2 infrastructure protocols (mean HHI 0.035, N=8): Welch t-test p = 0.016, Cohen’s d = 1.09; Mann-Whitney p = 0.005. This divergence is driven by post-exclusion infrastructure HHIs: ARB (0.012), OP (0.009), and GRT (0.033) show distributed holdings once foundation and bridge addresses are excluded.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(Section 3.4), suggesting that the distribution design channel operates through qualitative mechanisms not captured by the allocation percentage alone. The Anyone Protocol counterexample supports this interpretation: its low concentration (HHI 0.040) is consistent with governance mechanism choices (delegation incentives, activity-based caps, distribution schedule structure) that most DePIN protocols have not adopted.</w:t>
      </w:r>
    </w:p>
    <w:p>
      <w:r>
        <w:rPr>
          <w:b w:val="0"/>
        </w:rPr>
        <w:t>This governance mechanism interpretation aligns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r>
        <w:t>distribution-broadening mechanisms entirely. The governance concentration patterns in Table 4 may reflect distribution mechanism design operating through the sector channel: Table 6 shows DePIN membership predicts concentration at p &lt; 0.05 after adjusting for protocol age, valuation, and insider allocation. However, the regression null on insider allocation (Section 3.4) cautions against treating initial token allocation as a complete measure of distribution design: compression mechanisms (sub-linear scaling, activity-based caps, delegation incentives) operate through ongoing protocol governance, not through the initial percentage split alone.</w:t>
      </w:r>
    </w:p>
    <w:p>
      <w:pPr>
        <w:pStyle w:val="Heading2"/>
      </w:pPr>
      <w:r>
        <w:t xml:space="preserve">3.4 Allocation Design and Post-Distribution Dynamics</w:t>
      </w:r>
    </w:p>
    <w:p>
      <w:pPr>
        <w:pStyle w:val="Normal"/>
        <w:rPr/>
        <w:rPr/>
      </w:pPr>
      <w:ins w:id="1039" w:author="Zach Zukowski (R1 revision)" w:date="2026-05-10T00:00:00Z">
        <w:r>
          <w:t xml:space="preserve">Methodological note on AAVE: the stkAAVE staking contract is excluded from the holding Herfindahl-Hirschman Index per the protocol-controlled-address rule, but stakers retain pass-through voting power. The reported AAVE holding HHI of 0.020 therefore understates effective governance concentration; reconstructing the staker distribution would require parsing all stkAAVE deposit events, which is deferred to follow-up work. The companion Tally-sourced AAVE delegation HHI of 0.076 in Table 7 partially closes this gap by capturing concentration in delegated voting rather than raw token holdings.</w:t>
        </w:r>
      </w:ins>
    </w:p>
    <w:p>
      <w:r>
        <w:rPr>
          <w:b w:val="0"/>
        </w:rPr>
        <w:t>Initial token allocation design does not predict governance concentration. The percentage of total supply allocated to team and investors at launch shows no significant association with post-distribution HHI (Pearson r = 0.18, p = 0.28, N = 37; Spearman rho = 0.07, p = 0.69). This null persists across alternative specifications: token unlock progress, float-adjusted concentration, and the interaction of allocation with protocol maturity all produce coefficients indistinguishable from zero (Table 6, Models 1 through 3; Table 5 summarizes the bivariate battery). Statistically Validated Network analysis across DeFi protocols documents that governance concentration shifts dynamically in correlation with total value locked and secondary market valuations (Eisermann et al., 2025), consistent with the post-distribution market dynamics that render initial allocation design uninformative in the cross-section.</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2400"/>
        <w:gridCol w:w="1300"/>
        <w:gridCol w:w="1000"/>
        <w:gridCol w:w="1000"/>
        <w:gridCol w:w="540"/>
        <w:gridCol w:w="3120"/>
      </w:tblGrid>
      <w:tr>
        <w:trPr>
          <w:cantSplit/>
        </w:trPr>
        <w:tc>
          <w:tcPr>
            <w:tcW w:type="dxa" w:w="2400"/>
            <w:shd w:val="clear" w:fill="F2F2F2"/>
          </w:tcPr>
          <w:p>
            <w:r>
              <w:rPr>
                <w:b/>
                <w:sz w:val="18"/>
              </w:rPr>
              <w:t xml:space="preserve">Covariate</w:t>
            </w:r>
          </w:p>
        </w:tc>
        <w:tc>
          <w:tcPr>
            <w:tcW w:type="dxa" w:w="1300"/>
            <w:shd w:val="clear" w:fill="F2F2F2"/>
          </w:tcPr>
          <w:p>
            <w:r>
              <w:rPr>
                <w:b/>
                <w:sz w:val="18"/>
              </w:rPr>
              <w:t xml:space="preserve">Test</w:t>
            </w:r>
          </w:p>
        </w:tc>
        <w:tc>
          <w:tcPr>
            <w:tcW w:type="dxa" w:w="1000"/>
            <w:shd w:val="clear" w:fill="F2F2F2"/>
          </w:tcPr>
          <w:p>
            <w:r>
              <w:rPr>
                <w:b/>
                <w:sz w:val="18"/>
              </w:rPr>
              <w:t xml:space="preserve">Statistic</w:t>
            </w:r>
          </w:p>
        </w:tc>
        <w:tc>
          <w:tcPr>
            <w:tcW w:type="dxa" w:w="1000"/>
            <w:shd w:val="clear" w:fill="F2F2F2"/>
          </w:tcPr>
          <w:p>
            <w:r>
              <w:rPr>
                <w:b/>
                <w:sz w:val="18"/>
              </w:rPr>
              <w:t xml:space="preserve">p</w:t>
            </w:r>
          </w:p>
        </w:tc>
        <w:tc>
          <w:tcPr>
            <w:tcW w:type="dxa" w:w="540"/>
            <w:shd w:val="clear" w:fill="F2F2F2"/>
          </w:tcPr>
          <w:p>
            <w:r>
              <w:rPr>
                <w:b/>
                <w:sz w:val="18"/>
              </w:rPr>
              <w:t xml:space="preserve">N</w:t>
            </w:r>
          </w:p>
        </w:tc>
        <w:tc>
          <w:tcPr>
            <w:tcW w:type="dxa" w:w="3120"/>
            <w:shd w:val="clear" w:fill="F2F2F2"/>
          </w:tcPr>
          <w:p>
            <w:r>
              <w:rPr>
                <w:b/>
                <w:sz w:val="18"/>
              </w:rPr>
              <w:t xml:space="preserve">Status</w:t>
            </w:r>
          </w:p>
        </w:tc>
      </w:tr>
      <w:tr>
        <w:trPr>
          <w:cantSplit/>
        </w:trPr>
        <w:tc>
          <w:tcPr>
            <w:tcW w:type="dxa" w:w="2400"/>
          </w:tcPr>
          <w:p>
            <w:r>
              <w:rPr>
                <w:sz w:val="18"/>
              </w:rPr>
              <w:t xml:space="preserve">Insider allocation (%)</w:t>
            </w:r>
          </w:p>
        </w:tc>
        <w:tc>
          <w:tcPr>
            <w:tcW w:type="dxa" w:w="1300"/>
          </w:tcPr>
          <w:p>
            <w:r>
              <w:rPr>
                <w:sz w:val="18"/>
              </w:rPr>
              <w:t xml:space="preserve">Pearson r</w:t>
            </w:r>
          </w:p>
        </w:tc>
        <w:tc>
          <w:tcPr>
            <w:tcW w:type="dxa" w:w="1000"/>
          </w:tcPr>
          <w:p>
            <w:r>
              <w:rPr>
                <w:sz w:val="18"/>
              </w:rPr>
              <w:t xml:space="preserve">0.19</w:t>
            </w:r>
          </w:p>
        </w:tc>
        <w:tc>
          <w:tcPr>
            <w:tcW w:type="dxa" w:w="1000"/>
          </w:tcPr>
          <w:p>
            <w:r>
              <w:rPr>
                <w:sz w:val="18"/>
              </w:rPr>
              <w:t xml:space="preserve">0.25</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Team allocation (%)</w:t>
            </w:r>
          </w:p>
        </w:tc>
        <w:tc>
          <w:tcPr>
            <w:tcW w:type="dxa" w:w="1300"/>
          </w:tcPr>
          <w:p>
            <w:r>
              <w:rPr>
                <w:sz w:val="18"/>
              </w:rPr>
              <w:t xml:space="preserve">Pearson r</w:t>
            </w:r>
          </w:p>
        </w:tc>
        <w:tc>
          <w:tcPr>
            <w:tcW w:type="dxa" w:w="1000"/>
          </w:tcPr>
          <w:p>
            <w:pPr/>
            <w:del w:id="1001" w:author="Zach Zukowski (R1 revision)" w:date="2026-05-10T00:00:00Z">
              <w:r>
                <w:rPr>
                  <w:strike w:val="true"/>
                  <w:color w:val="C00000"/>
                </w:rPr>
                <w:delText xml:space="preserve">−0.13</w:delText>
              </w:r>
            </w:del>
            <w:ins w:id="1002" w:author="Zach Zukowski (R1 revision)" w:date="2026-05-10T00:00:00Z">
              <w:r>
                <w:rPr>
                  <w:color w:val="0070C0"/>
                </w:rPr>
                <w:t xml:space="preserve">0.20</w:t>
              </w:r>
            </w:ins>
          </w:p>
        </w:tc>
        <w:tc>
          <w:tcPr>
            <w:tcW w:type="dxa" w:w="1000"/>
          </w:tcPr>
          <w:p>
            <w:pPr/>
            <w:del w:id="1003" w:author="Zach Zukowski (R1 revision)" w:date="2026-05-10T00:00:00Z">
              <w:r>
                <w:rPr>
                  <w:strike w:val="true"/>
                  <w:color w:val="C00000"/>
                </w:rPr>
                <w:delText xml:space="preserve">0.46</w:delText>
              </w:r>
            </w:del>
            <w:ins w:id="1004" w:author="Zach Zukowski (R1 revision)" w:date="2026-05-10T00:00:00Z">
              <w:r>
                <w:rPr>
                  <w:color w:val="0070C0"/>
                </w:rPr>
                <w:t xml:space="preserve">0.224</w:t>
              </w:r>
            </w:ins>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Investor allocation (%)</w:t>
            </w:r>
          </w:p>
        </w:tc>
        <w:tc>
          <w:tcPr>
            <w:tcW w:type="dxa" w:w="1300"/>
          </w:tcPr>
          <w:p>
            <w:r>
              <w:rPr>
                <w:sz w:val="18"/>
              </w:rPr>
              <w:t xml:space="preserve">Pearson r</w:t>
            </w:r>
          </w:p>
        </w:tc>
        <w:tc>
          <w:tcPr>
            <w:tcW w:type="dxa" w:w="1000"/>
          </w:tcPr>
          <w:p>
            <w:pPr/>
            <w:del w:id="1005" w:author="Zach Zukowski (R1 revision)" w:date="2026-05-10T00:00:00Z">
              <w:r>
                <w:rPr>
                  <w:strike w:val="true"/>
                  <w:color w:val="C00000"/>
                </w:rPr>
                <w:delText xml:space="preserve">+0.26</w:delText>
              </w:r>
            </w:del>
            <w:ins w:id="1006" w:author="Zach Zukowski (R1 revision)" w:date="2026-05-10T00:00:00Z">
              <w:r>
                <w:rPr>
                  <w:color w:val="0070C0"/>
                </w:rPr>
                <w:t xml:space="preserve">0.09</w:t>
              </w:r>
            </w:ins>
          </w:p>
        </w:tc>
        <w:tc>
          <w:tcPr>
            <w:tcW w:type="dxa" w:w="1000"/>
          </w:tcPr>
          <w:p>
            <w:pPr/>
            <w:del w:id="1007" w:author="Zach Zukowski (R1 revision)" w:date="2026-05-10T00:00:00Z">
              <w:r>
                <w:rPr>
                  <w:strike w:val="true"/>
                  <w:color w:val="C00000"/>
                </w:rPr>
                <w:delText xml:space="preserve">0.14</w:delText>
              </w:r>
            </w:del>
            <w:ins w:id="1008" w:author="Zach Zukowski (R1 revision)" w:date="2026-05-10T00:00:00Z">
              <w:r>
                <w:rPr>
                  <w:color w:val="0070C0"/>
                </w:rPr>
                <w:t xml:space="preserve">0.596</w:t>
              </w:r>
            </w:ins>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Protocol maturity (years)</w:t>
            </w:r>
          </w:p>
        </w:tc>
        <w:tc>
          <w:tcPr>
            <w:tcW w:type="dxa" w:w="1300"/>
          </w:tcPr>
          <w:p>
            <w:r>
              <w:rPr>
                <w:sz w:val="18"/>
              </w:rPr>
              <w:t xml:space="preserve">Pearson r</w:t>
            </w:r>
          </w:p>
        </w:tc>
        <w:tc>
          <w:tcPr>
            <w:tcW w:type="dxa" w:w="1000"/>
          </w:tcPr>
          <w:p>
            <w:pPr/>
            <w:del w:id="1009" w:author="Zach Zukowski (R1 revision)" w:date="2026-05-10T00:00:00Z">
              <w:r>
                <w:rPr>
                  <w:strike w:val="true"/>
                  <w:color w:val="C00000"/>
                </w:rPr>
                <w:delText xml:space="preserve">+0.12</w:delText>
              </w:r>
            </w:del>
            <w:ins w:id="1010" w:author="Zach Zukowski (R1 revision)" w:date="2026-05-10T00:00:00Z">
              <w:r>
                <w:rPr>
                  <w:color w:val="0070C0"/>
                </w:rPr>
                <w:t xml:space="preserve">0.01</w:t>
              </w:r>
            </w:ins>
          </w:p>
        </w:tc>
        <w:tc>
          <w:tcPr>
            <w:tcW w:type="dxa" w:w="1000"/>
          </w:tcPr>
          <w:p>
            <w:pPr/>
            <w:del w:id="1011" w:author="Zach Zukowski (R1 revision)" w:date="2026-05-10T00:00:00Z">
              <w:r>
                <w:rPr>
                  <w:strike w:val="true"/>
                  <w:color w:val="C00000"/>
                </w:rPr>
                <w:delText xml:space="preserve">0.51</w:delText>
              </w:r>
            </w:del>
            <w:ins w:id="1012" w:author="Zach Zukowski (R1 revision)" w:date="2026-05-10T00:00:00Z">
              <w:r>
                <w:rPr>
                  <w:color w:val="0070C0"/>
                </w:rPr>
                <w:t xml:space="preserve">0.957</w:t>
              </w:r>
            </w:ins>
          </w:p>
        </w:tc>
        <w:tc>
          <w:tcPr>
            <w:tcW w:type="dxa" w:w="540"/>
          </w:tcPr>
          <w:p>
            <w:pPr/>
            <w:del w:id="1013" w:author="Zach Zukowski (R1 revision)" w:date="2026-05-10T00:00:00Z">
              <w:r>
                <w:rPr>
                  <w:strike w:val="true"/>
                  <w:color w:val="C00000"/>
                </w:rPr>
                <w:delText xml:space="preserve">37</w:delText>
              </w:r>
            </w:del>
            <w:ins w:id="1014" w:author="Zach Zukowski (R1 revision)" w:date="2026-05-10T00:00:00Z">
              <w:r>
                <w:rPr>
                  <w:color w:val="0070C0"/>
                </w:rPr>
                <w:t xml:space="preserve">40</w:t>
              </w:r>
            </w:ins>
          </w:p>
        </w:tc>
        <w:tc>
          <w:tcPr>
            <w:tcW w:type="dxa" w:w="3120"/>
          </w:tcPr>
          <w:p>
            <w:r>
              <w:rPr>
                <w:sz w:val="18"/>
              </w:rPr>
              <w:t xml:space="preserve">Null</w:t>
            </w:r>
          </w:p>
        </w:tc>
      </w:tr>
      <w:tr>
        <w:trPr>
          <w:cantSplit/>
        </w:trPr>
        <w:tc>
          <w:tcPr>
            <w:tcW w:type="dxa" w:w="2400"/>
          </w:tcPr>
          <w:p>
            <w:r>
              <w:rPr>
                <w:sz w:val="18"/>
              </w:rPr>
              <w:t xml:space="preserve">Circ/total supply ratio</w:t>
            </w:r>
          </w:p>
        </w:tc>
        <w:tc>
          <w:tcPr>
            <w:tcW w:type="dxa" w:w="1300"/>
          </w:tcPr>
          <w:p>
            <w:r>
              <w:rPr>
                <w:sz w:val="18"/>
              </w:rPr>
              <w:t xml:space="preserve">Pearson r</w:t>
            </w:r>
          </w:p>
        </w:tc>
        <w:tc>
          <w:tcPr>
            <w:tcW w:type="dxa" w:w="1000"/>
          </w:tcPr>
          <w:p>
            <w:r>
              <w:rPr>
                <w:sz w:val="18"/>
              </w:rPr>
              <w:t xml:space="preserve">0.03</w:t>
            </w:r>
          </w:p>
        </w:tc>
        <w:tc>
          <w:tcPr>
            <w:tcW w:type="dxa" w:w="1000"/>
          </w:tcPr>
          <w:p>
            <w:r>
              <w:rPr>
                <w:sz w:val="18"/>
              </w:rPr>
              <w:t xml:space="preserve">0.86</w:t>
            </w:r>
          </w:p>
        </w:tc>
        <w:tc>
          <w:tcPr>
            <w:tcW w:type="dxa" w:w="540"/>
          </w:tcPr>
          <w:p>
            <w:r>
              <w:rPr>
                <w:sz w:val="18"/>
              </w:rPr>
              <w:t xml:space="preserve">31</w:t>
            </w:r>
          </w:p>
        </w:tc>
        <w:tc>
          <w:tcPr>
            <w:tcW w:type="dxa" w:w="3120"/>
          </w:tcPr>
          <w:p>
            <w:r>
              <w:rPr>
                <w:sz w:val="18"/>
              </w:rPr>
              <w:t xml:space="preserve">Null</w:t>
            </w:r>
          </w:p>
        </w:tc>
      </w:tr>
      <w:tr>
        <w:trPr>
          <w:cantSplit/>
        </w:trPr>
        <w:tc>
          <w:tcPr>
            <w:tcW w:type="dxa" w:w="2400"/>
          </w:tcPr>
          <w:p>
            <w:r>
              <w:rPr>
                <w:sz w:val="18"/>
              </w:rPr>
              <w:t xml:space="preserve">MCap/FDV ratio</w:t>
            </w:r>
          </w:p>
        </w:tc>
        <w:tc>
          <w:tcPr>
            <w:tcW w:type="dxa" w:w="1300"/>
          </w:tcPr>
          <w:p>
            <w:r>
              <w:rPr>
                <w:sz w:val="18"/>
              </w:rPr>
              <w:t xml:space="preserve">Pearson r</w:t>
            </w:r>
          </w:p>
        </w:tc>
        <w:tc>
          <w:tcPr>
            <w:tcW w:type="dxa" w:w="1000"/>
          </w:tcPr>
          <w:p>
            <w:r>
              <w:rPr>
                <w:sz w:val="18"/>
              </w:rPr>
              <w:t xml:space="preserve">0.01</w:t>
            </w:r>
          </w:p>
        </w:tc>
        <w:tc>
          <w:tcPr>
            <w:tcW w:type="dxa" w:w="1000"/>
          </w:tcPr>
          <w:p>
            <w:r>
              <w:rPr>
                <w:sz w:val="18"/>
              </w:rPr>
              <w:t xml:space="preserve">0.96</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Exclusion-adjusted float</w:t>
            </w:r>
          </w:p>
        </w:tc>
        <w:tc>
          <w:tcPr>
            <w:tcW w:type="dxa" w:w="1300"/>
          </w:tcPr>
          <w:p>
            <w:r>
              <w:rPr>
                <w:sz w:val="18"/>
              </w:rPr>
              <w:t xml:space="preserve">Pearson r</w:t>
            </w:r>
          </w:p>
        </w:tc>
        <w:tc>
          <w:tcPr>
            <w:tcW w:type="dxa" w:w="1000"/>
          </w:tcPr>
          <w:p>
            <w:r>
              <w:rPr>
                <w:sz w:val="18"/>
              </w:rPr>
              <w:t xml:space="preserve">−0.003</w:t>
            </w:r>
          </w:p>
        </w:tc>
        <w:tc>
          <w:tcPr>
            <w:tcW w:type="dxa" w:w="1000"/>
          </w:tcPr>
          <w:p>
            <w:r>
              <w:rPr>
                <w:sz w:val="18"/>
              </w:rPr>
              <w:t xml:space="preserve">0.99</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Insider count fraction (top-10)</w:t>
            </w:r>
          </w:p>
        </w:tc>
        <w:tc>
          <w:tcPr>
            <w:tcW w:type="dxa" w:w="1300"/>
          </w:tcPr>
          <w:p>
            <w:r>
              <w:rPr>
                <w:sz w:val="18"/>
              </w:rPr>
              <w:t xml:space="preserve">Spearman ρ</w:t>
            </w:r>
          </w:p>
        </w:tc>
        <w:tc>
          <w:tcPr>
            <w:tcW w:type="dxa" w:w="1000"/>
          </w:tcPr>
          <w:p>
            <w:r>
              <w:rPr>
                <w:sz w:val="18"/>
              </w:rPr>
              <w:t xml:space="preserve">0.44</w:t>
            </w:r>
          </w:p>
        </w:tc>
        <w:tc>
          <w:tcPr>
            <w:tcW w:type="dxa" w:w="1000"/>
          </w:tcPr>
          <w:p>
            <w:r>
              <w:rPr>
                <w:sz w:val="18"/>
              </w:rPr>
              <w:t xml:space="preserve">0.005</w:t>
            </w:r>
          </w:p>
        </w:tc>
        <w:tc>
          <w:tcPr>
            <w:tcW w:type="dxa" w:w="540"/>
          </w:tcPr>
          <w:p>
            <w:r>
              <w:rPr>
                <w:sz w:val="18"/>
              </w:rPr>
              <w:t xml:space="preserve">39</w:t>
            </w:r>
          </w:p>
        </w:tc>
        <w:tc>
          <w:tcPr>
            <w:tcW w:type="dxa" w:w="3120"/>
          </w:tcPr>
          <w:p>
            <w:r>
              <w:rPr>
                <w:sz w:val="18"/>
              </w:rPr>
              <w:t xml:space="preserve">Significant*</w:t>
            </w:r>
          </w:p>
        </w:tc>
      </w:tr>
      <w:tr>
        <w:trPr>
          <w:cantSplit/>
        </w:trPr>
        <w:tc>
          <w:tcPr>
            <w:tcW w:type="dxa" w:w="2400"/>
          </w:tcPr>
          <w:p>
            <w:r>
              <w:rPr>
                <w:sz w:val="18"/>
              </w:rPr>
              <w:t xml:space="preserve">Non-insider HHI, V1 (count)</w:t>
            </w:r>
          </w:p>
        </w:tc>
        <w:tc>
          <w:tcPr>
            <w:tcW w:type="dxa" w:w="1300"/>
          </w:tcPr>
          <w:p>
            <w:r>
              <w:rPr>
                <w:sz w:val="18"/>
              </w:rPr>
              <w:t xml:space="preserve">Spearman ρ</w:t>
            </w:r>
          </w:p>
        </w:tc>
        <w:tc>
          <w:tcPr>
            <w:tcW w:type="dxa" w:w="1000"/>
          </w:tcPr>
          <w:p>
            <w:r>
              <w:rPr>
                <w:sz w:val="18"/>
              </w:rPr>
              <w:t xml:space="preserve">0.54</w:t>
            </w:r>
          </w:p>
        </w:tc>
        <w:tc>
          <w:tcPr>
            <w:tcW w:type="dxa" w:w="1000"/>
          </w:tcPr>
          <w:p>
            <w:r>
              <w:rPr>
                <w:sz w:val="18"/>
              </w:rPr>
              <w:t xml:space="preserve">0.001</w:t>
            </w:r>
          </w:p>
        </w:tc>
        <w:tc>
          <w:tcPr>
            <w:tcW w:type="dxa" w:w="540"/>
          </w:tcPr>
          <w:p>
            <w:r>
              <w:rPr>
                <w:sz w:val="18"/>
              </w:rPr>
              <w:t xml:space="preserve">34</w:t>
            </w:r>
          </w:p>
        </w:tc>
        <w:tc>
          <w:tcPr>
            <w:tcW w:type="dxa" w:w="3120"/>
          </w:tcPr>
          <w:p>
            <w:r>
              <w:rPr>
                <w:sz w:val="18"/>
              </w:rPr>
              <w:t xml:space="preserve">Tautology-checked</w:t>
            </w:r>
          </w:p>
        </w:tc>
      </w:tr>
      <w:tr>
        <w:trPr>
          <w:cantSplit/>
        </w:trPr>
        <w:tc>
          <w:tcPr>
            <w:tcW w:type="dxa" w:w="2400"/>
          </w:tcPr>
          <w:p>
            <w:r>
              <w:rPr>
                <w:sz w:val="18"/>
              </w:rPr>
              <w:t xml:space="preserve">Non-insider HHI, V2 (balance)</w:t>
            </w:r>
          </w:p>
        </w:tc>
        <w:tc>
          <w:tcPr>
            <w:tcW w:type="dxa" w:w="1300"/>
          </w:tcPr>
          <w:p>
            <w:r>
              <w:rPr>
                <w:sz w:val="18"/>
              </w:rPr>
              <w:t xml:space="preserve">Spearman ρ</w:t>
            </w:r>
          </w:p>
        </w:tc>
        <w:tc>
          <w:tcPr>
            <w:tcW w:type="dxa" w:w="1000"/>
          </w:tcPr>
          <w:p>
            <w:r>
              <w:rPr>
                <w:sz w:val="18"/>
              </w:rPr>
              <w:t xml:space="preserve">0.33</w:t>
            </w:r>
          </w:p>
        </w:tc>
        <w:tc>
          <w:tcPr>
            <w:tcW w:type="dxa" w:w="1000"/>
          </w:tcPr>
          <w:p>
            <w:r>
              <w:rPr>
                <w:sz w:val="18"/>
              </w:rPr>
              <w:t xml:space="preserve">0.060</w:t>
            </w:r>
          </w:p>
        </w:tc>
        <w:tc>
          <w:tcPr>
            <w:tcW w:type="dxa" w:w="540"/>
          </w:tcPr>
          <w:p>
            <w:r>
              <w:rPr>
                <w:sz w:val="18"/>
              </w:rPr>
              <w:t xml:space="preserve">34</w:t>
            </w:r>
          </w:p>
        </w:tc>
        <w:tc>
          <w:tcPr>
            <w:tcW w:type="dxa" w:w="3120"/>
          </w:tcPr>
          <w:p>
            <w:r>
              <w:rPr>
                <w:sz w:val="18"/>
              </w:rPr>
              <w:t xml:space="preserve">Does not survive</w:t>
            </w:r>
          </w:p>
        </w:tc>
      </w:tr>
      <w:tr>
        <w:trPr>
          <w:cantSplit/>
        </w:trPr>
        <w:tc>
          <w:tcPr>
            <w:tcW w:type="dxa" w:w="2400"/>
          </w:tcPr>
          <w:p>
            <w:r>
              <w:rPr>
                <w:sz w:val="18"/>
              </w:rPr>
              <w:t xml:space="preserve">Subsidy ratio (cross-sector)</w:t>
            </w:r>
          </w:p>
        </w:tc>
        <w:tc>
          <w:tcPr>
            <w:tcW w:type="dxa" w:w="1300"/>
          </w:tcPr>
          <w:p>
            <w:r>
              <w:rPr>
                <w:sz w:val="18"/>
              </w:rPr>
              <w:t xml:space="preserve">Pearson r</w:t>
            </w:r>
          </w:p>
        </w:tc>
        <w:tc>
          <w:tcPr>
            <w:tcW w:type="dxa" w:w="1000"/>
          </w:tcPr>
          <w:p>
            <w:r>
              <w:rPr>
                <w:sz w:val="18"/>
              </w:rPr>
              <w:t xml:space="preserve">0.57</w:t>
            </w:r>
          </w:p>
        </w:tc>
        <w:tc>
          <w:tcPr>
            <w:tcW w:type="dxa" w:w="1000"/>
          </w:tcPr>
          <w:p>
            <w:pPr/>
            <w:del w:id="1015" w:author="Zach Zukowski (R1 revision)" w:date="2026-05-10T00:00:00Z">
              <w:r>
                <w:rPr>
                  <w:strike w:val="true"/>
                  <w:color w:val="C00000"/>
                </w:rPr>
                <w:delText xml:space="preserve">0.007</w:delText>
              </w:r>
            </w:del>
            <w:ins w:id="1016" w:author="Zach Zukowski (R1 revision)" w:date="2026-05-10T00:00:00Z">
              <w:r>
                <w:rPr>
                  <w:color w:val="0070C0"/>
                </w:rPr>
                <w:t xml:space="preserve">0.008</w:t>
              </w:r>
            </w:ins>
          </w:p>
        </w:tc>
        <w:tc>
          <w:tcPr>
            <w:tcW w:type="dxa" w:w="540"/>
          </w:tcPr>
          <w:p>
            <w:r>
              <w:rPr>
                <w:sz w:val="18"/>
              </w:rPr>
              <w:t xml:space="preserve">20</w:t>
            </w:r>
          </w:p>
        </w:tc>
        <w:tc>
          <w:tcPr>
            <w:tcW w:type="dxa" w:w="3120"/>
          </w:tcPr>
          <w:p>
            <w:r>
              <w:rPr>
                <w:sz w:val="18"/>
              </w:rPr>
              <w:t xml:space="preserve">Fragile (LPT-driven)</w:t>
            </w:r>
          </w:p>
        </w:tc>
      </w:tr>
      <w:tr>
        <w:trPr>
          <w:cantSplit/>
        </w:trPr>
        <w:tc>
          <w:tcPr>
            <w:tcW w:type="dxa" w:w="2400"/>
          </w:tcPr>
          <w:p>
            <w:r>
              <w:rPr>
                <w:sz w:val="18"/>
              </w:rPr>
              <w:t xml:space="preserve">Subsidy ratio (TT expanded)</w:t>
            </w:r>
          </w:p>
        </w:tc>
        <w:tc>
          <w:tcPr>
            <w:tcW w:type="dxa" w:w="1300"/>
          </w:tcPr>
          <w:p>
            <w:r>
              <w:rPr>
                <w:sz w:val="18"/>
              </w:rPr>
              <w:t xml:space="preserve">Pearson r</w:t>
            </w:r>
          </w:p>
        </w:tc>
        <w:tc>
          <w:tcPr>
            <w:tcW w:type="dxa" w:w="1000"/>
          </w:tcPr>
          <w:p>
            <w:r>
              <w:rPr>
                <w:sz w:val="18"/>
              </w:rPr>
              <w:t xml:space="preserve">0.10</w:t>
            </w:r>
          </w:p>
        </w:tc>
        <w:tc>
          <w:tcPr>
            <w:tcW w:type="dxa" w:w="1000"/>
          </w:tcPr>
          <w:p>
            <w:r>
              <w:rPr>
                <w:sz w:val="18"/>
              </w:rPr>
              <w:t xml:space="preserve">0.674</w:t>
            </w:r>
          </w:p>
        </w:tc>
        <w:tc>
          <w:tcPr>
            <w:tcW w:type="dxa" w:w="540"/>
          </w:tcPr>
          <w:p>
            <w:r>
              <w:rPr>
                <w:sz w:val="18"/>
              </w:rPr>
              <w:t xml:space="preserve">22</w:t>
            </w:r>
          </w:p>
        </w:tc>
        <w:tc>
          <w:tcPr>
            <w:tcW w:type="dxa" w:w="3120"/>
          </w:tcPr>
          <w:p>
            <w:r>
              <w:rPr>
                <w:sz w:val="18"/>
              </w:rPr>
              <w:t xml:space="preserve">Null (robustness check)</w:t>
            </w:r>
          </w:p>
        </w:tc>
      </w:tr>
      <w:tr>
        <w:trPr>
          <w:cantSplit/>
        </w:trPr>
        <w:tc>
          <w:tcPr>
            <w:tcW w:type="dxa" w:w="2400"/>
          </w:tcPr>
          <w:p>
            <w:r>
              <w:rPr>
                <w:sz w:val="18"/>
              </w:rPr>
              <w:t xml:space="preserve">Subsidy ratio (excl. Livepeer)</w:t>
            </w:r>
          </w:p>
        </w:tc>
        <w:tc>
          <w:tcPr>
            <w:tcW w:type="dxa" w:w="1300"/>
          </w:tcPr>
          <w:p>
            <w:r>
              <w:rPr>
                <w:sz w:val="18"/>
              </w:rPr>
              <w:t xml:space="preserve">Pearson r</w:t>
            </w:r>
          </w:p>
        </w:tc>
        <w:tc>
          <w:tcPr>
            <w:tcW w:type="dxa" w:w="1000"/>
          </w:tcPr>
          <w:p>
            <w:pPr/>
            <w:del w:id="1017" w:author="Zach Zukowski (R1 revision)" w:date="2026-05-10T00:00:00Z">
              <w:r>
                <w:rPr>
                  <w:strike w:val="true"/>
                  <w:color w:val="C00000"/>
                </w:rPr>
                <w:delText xml:space="preserve">+0.13</w:delText>
              </w:r>
            </w:del>
            <w:ins w:id="1018" w:author="Zach Zukowski (R1 revision)" w:date="2026-05-10T00:00:00Z">
              <w:r>
                <w:rPr>
                  <w:color w:val="0070C0"/>
                </w:rPr>
                <w:t xml:space="preserve">0.12</w:t>
              </w:r>
            </w:ins>
          </w:p>
        </w:tc>
        <w:tc>
          <w:tcPr>
            <w:tcW w:type="dxa" w:w="1000"/>
          </w:tcPr>
          <w:p>
            <w:pPr/>
            <w:del w:id="1019" w:author="Zach Zukowski (R1 revision)" w:date="2026-05-10T00:00:00Z">
              <w:r>
                <w:rPr>
                  <w:strike w:val="true"/>
                  <w:color w:val="C00000"/>
                </w:rPr>
                <w:delText xml:space="preserve">0.37</w:delText>
              </w:r>
            </w:del>
            <w:ins w:id="1020" w:author="Zach Zukowski (R1 revision)" w:date="2026-05-10T00:00:00Z">
              <w:r>
                <w:rPr>
                  <w:color w:val="0070C0"/>
                </w:rPr>
                <w:t xml:space="preserve">0.633</w:t>
              </w:r>
            </w:ins>
          </w:p>
        </w:tc>
        <w:tc>
          <w:tcPr>
            <w:tcW w:type="dxa" w:w="540"/>
          </w:tcPr>
          <w:p>
            <w:r>
              <w:rPr>
                <w:sz w:val="18"/>
              </w:rPr>
              <w:t xml:space="preserve">19</w:t>
            </w:r>
          </w:p>
        </w:tc>
        <w:tc>
          <w:tcPr>
            <w:tcW w:type="dxa" w:w="3120"/>
          </w:tcPr>
          <w:p>
            <w:r>
              <w:rPr>
                <w:sz w:val="18"/>
              </w:rPr>
              <w:t xml:space="preserve">Null</w:t>
            </w:r>
          </w:p>
        </w:tc>
      </w:tr>
      <w:tr>
        <w:trPr>
          <w:cantSplit/>
        </w:trPr>
        <w:tc>
          <w:tcPr>
            <w:tcW w:type="dxa" w:w="2400"/>
          </w:tcPr>
          <w:p>
            <w:r>
              <w:rPr>
                <w:sz w:val="18"/>
              </w:rPr>
              <w:t xml:space="preserve">DePIN sector (dummy)</w:t>
            </w:r>
          </w:p>
        </w:tc>
        <w:tc>
          <w:tcPr>
            <w:tcW w:type="dxa" w:w="1300"/>
          </w:tcPr>
          <w:p>
            <w:r>
              <w:rPr>
                <w:sz w:val="18"/>
              </w:rPr>
              <w:t xml:space="preserve">Mann-Whitney</w:t>
            </w:r>
          </w:p>
        </w:tc>
        <w:tc>
          <w:tcPr>
            <w:tcW w:type="dxa" w:w="1000"/>
          </w:tcPr>
          <w:p>
            <w:r>
              <w:rPr>
                <w:sz w:val="18"/>
              </w:rPr>
              <w:t xml:space="preserve">U=172</w:t>
            </w:r>
          </w:p>
        </w:tc>
        <w:tc>
          <w:tcPr>
            <w:tcW w:type="dxa" w:w="1000"/>
          </w:tcPr>
          <w:p>
            <w:r>
              <w:rPr>
                <w:sz w:val="18"/>
              </w:rPr>
              <w:t xml:space="preserve">0.014</w:t>
            </w:r>
          </w:p>
        </w:tc>
        <w:tc>
          <w:tcPr>
            <w:tcW w:type="dxa" w:w="540"/>
          </w:tcPr>
          <w:p>
            <w:r>
              <w:rPr>
                <w:sz w:val="18"/>
              </w:rPr>
              <w:t xml:space="preserve">30</w:t>
            </w:r>
          </w:p>
        </w:tc>
        <w:tc>
          <w:tcPr>
            <w:tcW w:type="dxa" w:w="3120"/>
          </w:tcPr>
          <w:p>
            <w:r>
              <w:rPr>
                <w:sz w:val="18"/>
              </w:rPr>
              <w:t xml:space="preserve">Robust (30/30 LOO)</w:t>
            </w:r>
          </w:p>
        </w:tc>
      </w:tr>
      <w:tr>
        <w:trPr>
          <w:cantSplit/>
        </w:trPr>
        <w:tc>
          <w:tcPr>
            <w:tcW w:type="dxa" w:w="2400"/>
          </w:tcPr>
          <w:p>
            <w:r>
              <w:rPr>
                <w:sz w:val="18"/>
              </w:rPr>
              <w:t xml:space="preserve">HHI-Gini</w:t>
            </w:r>
          </w:p>
        </w:tc>
        <w:tc>
          <w:tcPr>
            <w:tcW w:type="dxa" w:w="1300"/>
          </w:tcPr>
          <w:p>
            <w:r>
              <w:rPr>
                <w:sz w:val="18"/>
              </w:rPr>
              <w:t xml:space="preserve">Pearson r</w:t>
            </w:r>
          </w:p>
        </w:tc>
        <w:tc>
          <w:tcPr>
            <w:tcW w:type="dxa" w:w="1000"/>
          </w:tcPr>
          <w:p>
            <w:r>
              <w:rPr>
                <w:sz w:val="18"/>
              </w:rPr>
              <w:t xml:space="preserve">0.51</w:t>
            </w:r>
          </w:p>
        </w:tc>
        <w:tc>
          <w:tcPr>
            <w:tcW w:type="dxa" w:w="1000"/>
          </w:tcPr>
          <w:p>
            <w:r>
              <w:rPr>
                <w:sz w:val="18"/>
              </w:rPr>
              <w:t xml:space="preserve">&lt;0.001</w:t>
            </w:r>
          </w:p>
        </w:tc>
        <w:tc>
          <w:tcPr>
            <w:tcW w:type="dxa" w:w="540"/>
          </w:tcPr>
          <w:p>
            <w:r>
              <w:rPr>
                <w:sz w:val="18"/>
              </w:rPr>
              <w:t xml:space="preserve">40</w:t>
            </w:r>
          </w:p>
        </w:tc>
        <w:tc>
          <w:tcPr>
            <w:tcW w:type="dxa" w:w="3120"/>
          </w:tcPr>
          <w:p>
            <w:r>
              <w:rPr>
                <w:sz w:val="18"/>
              </w:rPr>
              <w:t xml:space="preserve">Significant</w:t>
            </w:r>
          </w:p>
        </w:tc>
      </w:tr>
    </w:tbl>
    <w:p>
      <w:r>
        <w:rPr>
          <w:b/>
          <w:i/>
          <w:sz w:val="20"/>
        </w:rPr>
        <w:t xml:space="preserve">Table 5. </w:t>
      </w:r>
      <w:r>
        <w:rPr>
          <w:i/>
          <w:sz w:val="20"/>
        </w:rPr>
        <w:t>Bivariate associations between protocol characteristics and governance concentration (HHI). Allocation, maturity, and float specifications are null. Insider wallet presence is significant but the balance-based measure does not survive a tautology check (Section 3.4). Subsidy is significant in levels but driven entirely by Livepeer (Section 3.7). * LOO-robust (39/39). MCap = market capitalization; FDV = fully diluted valuation.</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 The 78 protocol contracts identified here differ from the 69 protocol-controlled addresses excluded from HHI computation. The 78 figure counts protocol-contract addresses across the top-10 holders of 39 tokens. The 69 figure counts excluded addresses across the top-1,000 holders of the 20 protocols where exclusions materially changed HHI. The samples and windows differ; the two numbers are not interchangeable.</w:t>
      </w:r>
    </w:p>
    <w:p>
      <w:r>
        <w:rPr>
          <w:b w:val="0"/>
        </w:rPr>
        <w:t>Protocols whose insider wallets retain top-holder positions tend to exhibit higher governance concentration (Spearman rho = 0.44, p = 0.005, N = 39), robust across all 39 leave-one-out iterations (rho range: 0.41 to 0.50).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The allocation null (Section 3.4) is also consistent with Michels’ (1911) observation that organizational complexity inevitably concentrates power in a specialized leadership class: early protocols’ commitment to governance minimization, the assumption that minimal on-chain rules would produce emergent decentralization is inconsistent with the concentration patterns the ideology sought to prevent. Protocols whose insiders retain their positions exhibit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r>
        <w:t>a pattern where concentrated insider presence attracts or coexists with concentrated non-insider holders, rather than insider balances alone inflating the metric.</w:t>
      </w:r>
    </w:p>
    <w:p>
      <w:pPr>
        <w:jc w:val="center"/>
      </w:pPr>
      <w:r>
        <w:drawing>
          <wp:inline distT="0" distB="0" distL="0" distR="0">
            <wp:extent cx="5029200" cy="3294093"/>
            <wp:docPr id="104" name="Figure 5"/>
            <a:graphic>
              <a:graphicData uri="http://schemas.openxmlformats.org/drawingml/2006/picture">
                <pic:pic>
                  <pic:nvPicPr>
                    <pic:cNvPr id="104" name="Figure 5"/>
                    <pic:cNvPicPr/>
                  </pic:nvPicPr>
                  <pic:blipFill>
                    <a:blip r:embed="rId12"/>
                    <a:stretch>
                      <a:fillRect/>
                    </a:stretch>
                  </pic:blipFill>
                  <pic:spPr>
                    <a:xfrm>
                      <a:off x="0" y="0"/>
                      <a:ext cx="5029200" cy="3294093"/>
                    </a:xfrm>
                    <a:prstGeom prst="rect">
                      <a:avLst/>
                    </a:prstGeom>
                  </pic:spPr>
                </pic:pic>
              </a:graphicData>
            </a:graphic>
          </wp:inline>
        </w:drawing>
      </w:r>
    </w:p>
    <w:p>
      <w:r>
        <w:rPr>
          <w:b/>
          <w:i/>
          <w:sz w:val="20"/>
        </w:rPr>
        <w:t xml:space="preserve">Figure 5. </w:t>
      </w:r>
      <w:r>
        <w:rPr>
          <w:i/>
          <w:sz w:val="20"/>
        </w:rPr>
        <w:t>Insider allocation (%) vs. corrected holding HHI for 37 regression-ready protocols. The null relationship (r = 0.18, p = 0.28) is the paper’s lead finding: initial allocation design does not predict post-distribution governance concentration.</w:t>
      </w:r>
      <w:ins w:id="1058" w:author="Zach Zukowski (R1 revision)" w:date="2026-05-10T00:00:00Z">
        <w:r>
          <w:rPr>
            <w:color w:val="0070C0"/>
          </w:rPr>
          <w:t xml:space="preserve"> Reading the figure: the absence of a downward slope is the finding; if insider allocation drove concentration we would expect a positive slope.</w:t>
        </w:r>
      </w:ins>
    </w:p>
    <w:p>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lowest in the DeFi subsample (Lido at 0.013 is the second-lowest, and Compound at 0.027 the third-lowest). Despite the most community-favorable distribution architecture in the sample, this single observation cannot establish a causal claim on its own. The cross-sectional null (Pearson r = 0.18, p = 0.28, N = 37) shows that protocols across the full range of allocation designs achieve comparable concentration levels, consistent with the finding that allocation design does not predict post-distribution concentration.</w:t>
      </w:r>
    </w:p>
    <w:p>
      <w:r>
        <w:rPr>
          <w:b w:val="0"/>
        </w:rPr>
        <w:t>The governance concentration patterns documented across the sample (Section 3.2, Table 4; HHI range 0.004 to 0.199) have normative significance beyond descriptive interest. The theoretical framework (Section 2.9) argues that governance concentration affects legitimacy through multiple channels: publicity (Hypothesis 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Normal"/>
      </w:pPr>
      <w:r>
        <w:t xml:space="preserve">The null pattern extends beyond allocation to financial sustainability more broadly. Three protocols with nearly identical subsidy ratios (DIMO at 0.33x, Aethir at 0.36x, Aave at 0.37x) exhibit governance HHI values of 0.038, 0.171, and 0.020 respectively. All three are revenue-dominant; their concentration spans the full range of the 40-protocol sample. Financial sustainability is neither necessary nor sufficient for governance decentralization.</w:t>
      </w:r>
    </w:p>
    <w:p>
      <w:pPr>
        <w:pStyle w:val="Normal"/>
      </w:pPr>
      <w:r>
        <w:t xml:space="preserve">Table 6 reports multivariate OLS regressions of HHI on protocol characteristics. The DePIN coefficient is positive and statistically significant in Models 1 and 2 (Model 1: 0.048, p = 0.012, N = 38; Model 2: 0.050, p = 0.027, N = 36) and borderline significant in Model 3 (0.048, p = 0.050, N = 35). No other covariate achieves p &lt; 0.10. In particular, the initial insider allocation percentage used as a Table 6 covariate is not significant, consistent with the bivariate null in Table 5. This is distinct from the current insider-retention measure reported in Section 3.4 (Spearman rho = 0.44), which counts how many of a protocol's top-10 holders are insiders rather than measuring the share of supply allocated to insiders at launch. The adjusted R-squared ranges from 0.14 to 0.17, indicating that sector membership accounts for more cross-sectional variation than protocol age, valuation, or allocation structure. The sample (N = 35 to 38 depending on specification) remains too small to reliably isolate independent effects; the pipeline specification (</w:t>
      </w:r>
      <w:hyperlink r:id="rId22" w:history="1">
        <w:r>
          <w:rPr>
            <w:color w:val="0563C1"/>
            <w:u w:val="single"/>
          </w:rPr>
          <w:t xml:space="preserve">Supplementary File S5</w:t>
        </w:r>
      </w:hyperlink>
      <w:r>
        <w:t xml:space="preserve">) documents the infrastructure for replication at larger sample sizes.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360"/>
        <w:gridCol w:w="2000"/>
        <w:gridCol w:w="2000"/>
        <w:gridCol w:w="2000"/>
      </w:tblGrid>
      <w:tr>
        <w:tc>
          <w:tcPr>
            <w:tcW w:type="dxa" w:w="3360"/>
            <w:shd w:val="clear" w:fill="F2F2F2"/>
          </w:tcPr>
          <w:p>
            <w:r>
              <w:rPr>
                <w:b/>
                <w:sz w:val="18"/>
              </w:rPr>
              <w:t xml:space="preserve"/>
            </w:r>
          </w:p>
        </w:tc>
        <w:tc>
          <w:tcPr>
            <w:tcW w:type="dxa" w:w="2000"/>
            <w:shd w:val="clear" w:fill="F2F2F2"/>
          </w:tcPr>
          <w:p>
            <w:r>
              <w:rPr>
                <w:b/>
                <w:sz w:val="18"/>
              </w:rPr>
              <w:t xml:space="preserve">Model 1</w:t>
            </w:r>
          </w:p>
        </w:tc>
        <w:tc>
          <w:tcPr>
            <w:tcW w:type="dxa" w:w="2000"/>
            <w:shd w:val="clear" w:fill="F2F2F2"/>
          </w:tcPr>
          <w:p>
            <w:r>
              <w:rPr>
                <w:b/>
                <w:sz w:val="18"/>
              </w:rPr>
              <w:t xml:space="preserve">Model 2</w:t>
            </w:r>
          </w:p>
        </w:tc>
        <w:tc>
          <w:tcPr>
            <w:tcW w:type="dxa" w:w="2000"/>
            <w:shd w:val="clear" w:fill="F2F2F2"/>
          </w:tcPr>
          <w:p>
            <w:r>
              <w:rPr>
                <w:b/>
                <w:sz w:val="18"/>
              </w:rPr>
              <w:t xml:space="preserve">Model 3</w:t>
            </w:r>
          </w:p>
        </w:tc>
      </w:tr>
      <w:tr>
        <w:tc>
          <w:tcPr>
            <w:tcW w:type="dxa" w:w="3360"/>
          </w:tcPr>
          <w:p>
            <w:r>
              <w:rPr>
                <w:sz w:val="18"/>
              </w:rPr>
              <w:t xml:space="preserve">DePIN (vs DeFi)</w:t>
            </w:r>
          </w:p>
        </w:tc>
        <w:tc>
          <w:tcPr>
            <w:tcW w:type="dxa" w:w="2000"/>
          </w:tcPr>
          <w:p>
            <w:r>
              <w:rPr>
                <w:sz w:val="18"/>
              </w:rPr>
              <w:t xml:space="preserve">0.048**</w:t>
            </w:r>
          </w:p>
        </w:tc>
        <w:tc>
          <w:tcPr>
            <w:tcW w:type="dxa" w:w="2000"/>
          </w:tcPr>
          <w:p>
            <w:r>
              <w:rPr>
                <w:sz w:val="18"/>
              </w:rPr>
              <w:t xml:space="preserve">0.050**</w:t>
            </w:r>
          </w:p>
        </w:tc>
        <w:tc>
          <w:tcPr>
            <w:tcW w:type="dxa" w:w="2000"/>
          </w:tcPr>
          <w:p>
            <w:r>
              <w:rPr>
                <w:sz w:val="18"/>
              </w:rPr>
              <w:t xml:space="preserve">0.048*</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(0.023)</w:t>
            </w:r>
          </w:p>
        </w:tc>
        <w:tc>
          <w:tcPr>
            <w:tcW w:type="dxa" w:w="2000"/>
          </w:tcPr>
          <w:p>
            <w:r>
              <w:rPr>
                <w:sz w:val="18"/>
              </w:rPr>
              <w:t xml:space="preserve">(0.025)</w:t>
            </w:r>
          </w:p>
        </w:tc>
      </w:tr>
      <w:tr>
        <w:tc>
          <w:tcPr>
            <w:tcW w:type="dxa" w:w="3360"/>
          </w:tcPr>
          <w:p>
            <w:r>
              <w:rPr>
                <w:sz w:val="18"/>
              </w:rPr>
              <w:t xml:space="preserve">L1/L2/Infra (vs DeFi)</w:t>
            </w:r>
          </w:p>
        </w:tc>
        <w:tc>
          <w:tcPr>
            <w:tcW w:type="dxa" w:w="2000"/>
          </w:tcPr>
          <w:p>
            <w:r>
              <w:rPr>
                <w:sz w:val="18"/>
              </w:rPr>
              <w:t xml:space="preserve">-0.011</w:t>
            </w:r>
          </w:p>
        </w:tc>
        <w:tc>
          <w:tcPr>
            <w:tcW w:type="dxa" w:w="2000"/>
          </w:tcPr>
          <w:p>
            <w:r>
              <w:rPr>
                <w:sz w:val="18"/>
              </w:rPr>
              <w:t xml:space="preserve">-0.010</w:t>
            </w:r>
          </w:p>
        </w:tc>
        <w:tc>
          <w:tcPr>
            <w:tcW w:type="dxa" w:w="2000"/>
          </w:tcPr>
          <w:p>
            <w:r>
              <w:rPr>
                <w:sz w:val="18"/>
              </w:rPr>
              <w:t xml:space="preserve">-0.014</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(0.022)</w:t>
            </w:r>
          </w:p>
        </w:tc>
        <w:tc>
          <w:tcPr>
            <w:tcW w:type="dxa" w:w="2000"/>
          </w:tcPr>
          <w:p>
            <w:r>
              <w:rPr>
                <w:sz w:val="18"/>
              </w:rPr>
              <w:t xml:space="preserve">(0.025)</w:t>
            </w:r>
          </w:p>
        </w:tc>
      </w:tr>
      <w:tr>
        <w:tc>
          <w:tcPr>
            <w:tcW w:type="dxa" w:w="3360"/>
          </w:tcPr>
          <w:p>
            <w:r>
              <w:rPr>
                <w:sz w:val="18"/>
              </w:rPr>
              <w:t xml:space="preserve">Social (vs DeFi)</w:t>
            </w:r>
          </w:p>
        </w:tc>
        <w:tc>
          <w:tcPr>
            <w:tcW w:type="dxa" w:w="2000"/>
          </w:tcPr>
          <w:p>
            <w:r>
              <w:rPr>
                <w:sz w:val="18"/>
              </w:rPr>
              <w:t xml:space="preserve">0.034</w:t>
            </w:r>
          </w:p>
        </w:tc>
        <w:tc>
          <w:tcPr>
            <w:tcW w:type="dxa" w:w="2000"/>
          </w:tcPr>
          <w:p>
            <w:r>
              <w:rPr>
                <w:sz w:val="18"/>
              </w:rPr>
              <w:t xml:space="preserve">0.029</w:t>
            </w:r>
          </w:p>
        </w:tc>
        <w:tc>
          <w:tcPr>
            <w:tcW w:type="dxa" w:w="2000"/>
          </w:tcPr>
          <w:p>
            <w:r>
              <w:rPr>
                <w:sz w:val="18"/>
              </w:rPr>
              <w:t xml:space="preserve">0.029</w:t>
            </w:r>
          </w:p>
        </w:tc>
      </w:tr>
      <w:tr>
        <w:tc>
          <w:tcPr>
            <w:tcW w:type="dxa" w:w="3360"/>
          </w:tcPr>
          <w:p>
            <w:r>
              <w:rPr>
                <w:sz w:val="18"/>
              </w:rPr>
              <w:t xml:space="preserve"/>
            </w:r>
          </w:p>
        </w:tc>
        <w:tc>
          <w:tcPr>
            <w:tcW w:type="dxa" w:w="2000"/>
          </w:tcPr>
          <w:p>
            <w:r>
              <w:rPr>
                <w:sz w:val="18"/>
              </w:rPr>
              <w:t xml:space="preserve">(0.063)</w:t>
            </w:r>
          </w:p>
        </w:tc>
        <w:tc>
          <w:tcPr>
            <w:tcW w:type="dxa" w:w="2000"/>
          </w:tcPr>
          <w:p>
            <w:r>
              <w:rPr>
                <w:sz w:val="18"/>
              </w:rPr>
              <w:t xml:space="preserve">(0.075)</w:t>
            </w:r>
          </w:p>
        </w:tc>
        <w:tc>
          <w:tcPr>
            <w:tcW w:type="dxa" w:w="2000"/>
          </w:tcPr>
          <w:p>
            <w:r>
              <w:rPr>
                <w:sz w:val="18"/>
              </w:rPr>
              <w:t xml:space="preserve">(0.095)</w:t>
            </w:r>
          </w:p>
        </w:tc>
      </w:tr>
      <w:tr>
        <w:tc>
          <w:tcPr>
            <w:tcW w:type="dxa" w:w="3360"/>
          </w:tcPr>
          <w:p>
            <w:r>
              <w:rPr>
                <w:sz w:val="18"/>
              </w:rPr>
              <w:t xml:space="preserve">Protocol age (years)</w:t>
            </w:r>
          </w:p>
        </w:tc>
        <w:tc>
          <w:tcPr>
            <w:tcW w:type="dxa" w:w="2000"/>
          </w:tcPr>
          <w:p>
            <w:r>
              <w:rPr>
                <w:sz w:val="18"/>
              </w:rPr>
              <w:t xml:space="preserve"/>
            </w:r>
          </w:p>
        </w:tc>
        <w:tc>
          <w:tcPr>
            <w:tcW w:type="dxa" w:w="2000"/>
          </w:tcPr>
          <w:p>
            <w:r>
              <w:rPr>
                <w:sz w:val="18"/>
              </w:rPr>
              <w:t xml:space="preserve">0.000</w:t>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(0.005)</w:t>
            </w:r>
          </w:p>
        </w:tc>
        <w:tc>
          <w:tcPr>
            <w:tcW w:type="dxa" w:w="2000"/>
          </w:tcPr>
          <w:p>
            <w:r>
              <w:rPr>
                <w:sz w:val="18"/>
              </w:rPr>
              <w:t xml:space="preserve">(0.005)</w:t>
            </w:r>
          </w:p>
        </w:tc>
      </w:tr>
      <w:tr>
        <w:tc>
          <w:tcPr>
            <w:tcW w:type="dxa" w:w="3360"/>
          </w:tcPr>
          <w:p>
            <w:r>
              <w:rPr>
                <w:sz w:val="18"/>
              </w:rPr>
              <w:t xml:space="preserve">Log FDV</w:t>
            </w:r>
          </w:p>
        </w:tc>
        <w:tc>
          <w:tcPr>
            <w:tcW w:type="dxa" w:w="2000"/>
          </w:tcPr>
          <w:p>
            <w:r>
              <w:rPr>
                <w:sz w:val="18"/>
              </w:rPr>
              <w:t xml:space="preserve"/>
            </w:r>
          </w:p>
        </w:tc>
        <w:tc>
          <w:tcPr>
            <w:tcW w:type="dxa" w:w="2000"/>
          </w:tcPr>
          <w:p>
            <w:r>
              <w:rPr>
                <w:sz w:val="18"/>
              </w:rPr>
              <w:t xml:space="preserve">-0.001</w:t>
            </w:r>
          </w:p>
        </w:tc>
        <w:tc>
          <w:tcPr>
            <w:tcW w:type="dxa" w:w="2000"/>
          </w:tcPr>
          <w:p>
            <w:r>
              <w:rPr>
                <w:sz w:val="18"/>
              </w:rPr>
              <w:t xml:space="preserve">-0.002</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(0.004)</w:t>
            </w:r>
          </w:p>
        </w:tc>
        <w:tc>
          <w:tcPr>
            <w:tcW w:type="dxa" w:w="2000"/>
          </w:tcPr>
          <w:p>
            <w:r>
              <w:rPr>
                <w:sz w:val="18"/>
              </w:rPr>
              <w:t xml:space="preserve">(0.004)</w:t>
            </w:r>
          </w:p>
        </w:tc>
      </w:tr>
      <w:tr>
        <w:tc>
          <w:tcPr>
            <w:tcW w:type="dxa" w:w="3360"/>
          </w:tcPr>
          <w:p>
            <w:r>
              <w:rPr>
                <w:sz w:val="18"/>
              </w:rPr>
              <w:t xml:space="preserve">Initial insider allocation (%)</w:t>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Constant</w:t>
            </w:r>
          </w:p>
        </w:tc>
        <w:tc>
          <w:tcPr>
            <w:tcW w:type="dxa" w:w="2000"/>
          </w:tcPr>
          <w:p>
            <w:r>
              <w:rPr>
                <w:sz w:val="18"/>
              </w:rPr>
              <w:t xml:space="preserve">0.042***</w:t>
            </w:r>
          </w:p>
        </w:tc>
        <w:tc>
          <w:tcPr>
            <w:tcW w:type="dxa" w:w="2000"/>
          </w:tcPr>
          <w:p>
            <w:r>
              <w:rPr>
                <w:sz w:val="18"/>
              </w:rPr>
              <w:t xml:space="preserve">0.069</w:t>
            </w:r>
          </w:p>
        </w:tc>
        <w:tc>
          <w:tcPr>
            <w:tcW w:type="dxa" w:w="2000"/>
          </w:tcPr>
          <w:p>
            <w:r>
              <w:rPr>
                <w:sz w:val="18"/>
              </w:rPr>
              <w:t xml:space="preserve">0.053</w:t>
            </w:r>
          </w:p>
        </w:tc>
      </w:tr>
      <w:tr>
        <w:tc>
          <w:tcPr>
            <w:tcW w:type="dxa" w:w="3360"/>
          </w:tcPr>
          <w:p>
            <w:r>
              <w:rPr>
                <w:sz w:val="18"/>
              </w:rPr>
              <w:t xml:space="preserve"/>
            </w:r>
          </w:p>
        </w:tc>
        <w:tc>
          <w:tcPr>
            <w:tcW w:type="dxa" w:w="2000"/>
          </w:tcPr>
          <w:p>
            <w:r>
              <w:rPr>
                <w:sz w:val="18"/>
              </w:rPr>
              <w:t xml:space="preserve">(0.009)</w:t>
            </w:r>
          </w:p>
        </w:tc>
        <w:tc>
          <w:tcPr>
            <w:tcW w:type="dxa" w:w="2000"/>
          </w:tcPr>
          <w:p>
            <w:r>
              <w:rPr>
                <w:sz w:val="18"/>
              </w:rPr>
              <w:t xml:space="preserve">(0.090)</w:t>
            </w:r>
          </w:p>
        </w:tc>
        <w:tc>
          <w:tcPr>
            <w:tcW w:type="dxa" w:w="2000"/>
          </w:tcPr>
          <w:p>
            <w:r>
              <w:rPr>
                <w:sz w:val="18"/>
              </w:rPr>
              <w:t xml:space="preserve">(0.093)</w:t>
            </w:r>
          </w:p>
        </w:tc>
      </w:tr>
      <w:tr>
        <w:tc>
          <w:tcPr>
            <w:tcW w:type="dxa" w:w="3360"/>
          </w:tcPr>
          <w:p>
            <w:r>
              <w:rPr>
                <w:sz w:val="18"/>
              </w:rPr>
              <w:t xml:space="preserve">N</w:t>
            </w:r>
          </w:p>
        </w:tc>
        <w:tc>
          <w:tcPr>
            <w:tcW w:type="dxa" w:w="2000"/>
          </w:tcPr>
          <w:p>
            <w:r>
              <w:rPr>
                <w:sz w:val="18"/>
              </w:rPr>
              <w:t xml:space="preserve">38</w:t>
            </w:r>
          </w:p>
        </w:tc>
        <w:tc>
          <w:tcPr>
            <w:tcW w:type="dxa" w:w="2000"/>
          </w:tcPr>
          <w:p>
            <w:r>
              <w:rPr>
                <w:sz w:val="18"/>
              </w:rPr>
              <w:t xml:space="preserve">36</w:t>
            </w:r>
          </w:p>
        </w:tc>
        <w:tc>
          <w:tcPr>
            <w:tcW w:type="dxa" w:w="2000"/>
          </w:tcPr>
          <w:p>
            <w:r>
              <w:rPr>
                <w:sz w:val="18"/>
              </w:rPr>
              <w:t xml:space="preserve">35</w:t>
            </w:r>
          </w:p>
        </w:tc>
      </w:tr>
      <w:tr>
        <w:tc>
          <w:tcPr>
            <w:tcW w:type="dxa" w:w="3360"/>
          </w:tcPr>
          <w:p>
            <w:r>
              <w:rPr>
                <w:sz w:val="18"/>
              </w:rPr>
              <w:t xml:space="preserve">Adjusted R²</w:t>
            </w:r>
          </w:p>
        </w:tc>
        <w:tc>
          <w:tcPr>
            <w:tcW w:type="dxa" w:w="2000"/>
          </w:tcPr>
          <w:p>
            <w:r>
              <w:rPr>
                <w:sz w:val="18"/>
              </w:rPr>
              <w:t xml:space="preserve">0.167</w:t>
            </w:r>
          </w:p>
        </w:tc>
        <w:tc>
          <w:tcPr>
            <w:tcW w:type="dxa" w:w="2000"/>
          </w:tcPr>
          <w:p>
            <w:r>
              <w:rPr>
                <w:sz w:val="18"/>
              </w:rPr>
              <w:t xml:space="preserve">0.140</w:t>
            </w:r>
          </w:p>
        </w:tc>
        <w:tc>
          <w:tcPr>
            <w:tcW w:type="dxa" w:w="2000"/>
          </w:tcPr>
          <w:p>
            <w:r>
              <w:rPr>
                <w:sz w:val="18"/>
              </w:rPr>
              <w:t xml:space="preserve">0.145</w:t>
            </w:r>
          </w:p>
        </w:tc>
      </w:tr>
    </w:tbl>
    <w:p>
      <w:pPr>
        <w:pStyle w:val="Normal"/>
      </w:pPr>
      <w:r>
        <w:rPr>
          <w:b/>
          <w:i/>
          <w:sz w:val="20"/>
        </w:rPr>
        <w:t xml:space="preserve">Table 6. </w:t>
      </w:r>
      <w:r>
        <w:rPr>
          <w:i/>
          <w:sz w:val="20"/>
        </w:rPr>
        <w:t>OLS regression of HHI on protocol characteristics. Model 1 includes sector dummies only (DePIN, L1/L2/Infra, Social; DeFi omitted). Model 2 adds protocol age (years since token genesis) and log FDV (log fully diluted valuation). Model 3 adds the initial insider allocation percentage (team plus investor share at launch). Successive models lose observations as covariate availability declines (N = 38 to 36 to 35). Robust standard errors (HC3) in parentheses. * p &lt; 0.10, ** p &lt; 0.05, *** p &lt; 0.01.</w:t>
      </w:r>
    </w:p>
    <w:p>
      <w:pPr>
        <w:pStyle w:val="Heading2"/>
      </w:pPr>
      <w:r>
        <w:t xml:space="preserve">3.5 Voting Power vs Holding Concentration</w:t>
      </w:r>
    </w:p>
    <w:p>
      <w:pPr>
        <w:pStyle w:val="Normal"/>
      </w:pPr>
      <w:r>
        <w:t xml:space="preserve">Delegation amplifies DePIN governance concentration 3 to 6 times above holding levels, while the two infrastructure protocols sampled show opposite patterns (Table 7), with one protocol’s delegation marginally distributing voting power and the other’s substantially concentrating it. 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7 reports the holding-voting HHI gap. The delegation amplification ratio (voting HHI divided by holding HHI) reveals patterns that vary across and within sector categories,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wp:inline distT="0" distB="0" distL="0" distR="0">
            <wp:extent cx="5029200" cy="3275319"/>
            <wp:docPr id="105" name="Figure 6"/>
            <a:graphic>
              <a:graphicData uri="http://schemas.openxmlformats.org/drawingml/2006/picture">
                <pic:pic>
                  <pic:nvPicPr>
                    <pic:cNvPr id="105" name="Figure 6"/>
                    <pic:cNvPicPr/>
                  </pic:nvPicPr>
                  <pic:blipFill>
                    <a:blip r:embed="rId13"/>
                    <a:stretch>
                      <a:fillRect/>
                    </a:stretch>
                  </pic:blipFill>
                  <pic:spPr>
                    <a:xfrm>
                      <a:off x="0" y="0"/>
                      <a:ext cx="5029200" cy="3275319"/>
                    </a:xfrm>
                    <a:prstGeom prst="rect">
                      <a:avLst/>
                    </a:prstGeom>
                  </pic:spPr>
                </pic:pic>
              </a:graphicData>
            </a:graphic>
          </wp:inline>
        </w:drawing>
      </w:r>
    </w:p>
    <w:p>
      <w:r>
        <w:rPr>
          <w:b/>
          <w:i/>
          <w:sz w:val="20"/>
        </w:rPr>
        <w:t xml:space="preserve">Figure 6. </w:t>
      </w:r>
      <w:r>
        <w:rPr>
          <w:i/>
          <w:sz w:val="20"/>
        </w:rPr>
        <w:t>Raw holding HHI vs. delegation-adjusted HHI for five Tally-sourced protocols.</w:t>
      </w:r>
      <w:ins w:id="1059" w:author="Zach Zukowski (R1 revision)" w:date="2026-05-10T00:00:00Z">
        <w:r>
          <w:rPr>
            <w:color w:val="0070C0"/>
          </w:rPr>
          <w:t xml:space="preserve"> Reading the figure: protocols above the diagonal have voting more concentrated than holding (delegation amplifies); below the diagonal indicates the opposite.</w:t>
        </w:r>
      </w:ins>
    </w:p>
    <w:p>
      <w:pPr>
        <w:pStyle w:val="Normal"/>
      </w:pPr>
      <w:r>
        <w:t xml:space="preserve">DeFi protocols show delegation amplification across the board, ranging from Lido (4.8×) and Aave (3.8×) to Compound (1.9×). Only Uniswap achieves mild distribution through delegation (0.84×), suggesting its active delegate ecosystem successfully disperses governance power. The DeFi pattern is therefore not “mixed” but directional: delegation concentrates power in three of four protocols sampled, with Uniswap as the lone counterexample.</w:t>
      </w:r>
    </w:p>
    <w:p>
      <w:pPr>
        <w:pStyle w:val="Normal"/>
      </w:pPr>
      <w:r>
        <w:t xml:space="preserve">The two infrastructure protocols show opposite patterns despite sharing sector classification, execution layer, and nominal governance architecture. Optimism’s voting HHI (0.033) is 0.79 times its holding HHI (0.042), indicating that delegation marginally distributes voting power relative to holdings. Arbitrum’s voting HHI (0.052) is 4.3 times its holding HHI (0.012), indicating that delegation substantially concentrates voting power. Both protocols have invested in delegate-program infrastructure (published delegate platforms, recurring delegate compensation, active recruitment of long-form policy positions), and the differing outcomes suggest that delegation infrastructure investment alone does not predict whether the program produces dispersed or concentrated voting power.</w:t>
      </w:r>
    </w:p>
    <w:p>
      <w:r>
        <w:rPr/>
        <w:t>Optimism’s low delegation-adjusted HHI (0.033) reflects an intentional bicameral architecture: the Citizens’ House, weighted by reputation rather than tokens, holds formal veto power over economic parameters proposed by the Token House, with dynamic thresholds that lower the veto trigger when multiple stakeholder groups align (Optimism, 2024). Lido’s extreme amplification (4.8×) prompted a complementary institutional response: a “Dual Governance” redesign granting stETH holders formal veto power over LDO governance proposals, with a programmatic “rage quit” exit mechanism as the ultimate accountability lever. Both cases illustrate that the delegation amplification finding is not merely descriptive but has already catalyzed institutional reforms in the protocols where it is most severe.</w:t>
      </w:r>
    </w:p>
    <w:p>
      <w:pPr>
        <w:pStyle w:val="Normal"/>
      </w:pPr>
      <w:r>
        <w:t xml:space="preserve">The delegation-adjusted analysis reported in this section extends recent empirical work by Fritsch, Müller, and Wattenhofer (2024), who apply Nakamoto coefficients and Gini measures to voting power in Compound, Uniswap, and ENS governance systems and document extreme concentration in delegate-level voting power. The cross-protocol comparison reported here spans eight protocols across DeFi (Compound, Aave, Uniswap), DePIN (DIMO, WeatherXM), infrastructure (Optimism, Arbitrum), and adjacent categories (Lido). DePIN protocols concentrate governance power through delegation at rates 3 to 6 times higher than their holding concentration, while infrastructure protocols show heterogeneous outcomes within sector category (Optimism 0.79 times, Arbitrum 4.3 times their respective holding HHI). The within-sector heterogeneity is consistent with the framing developed in Section 1: governance outcomes are produced by institutional design at the operator and router level, not by the token’s surface properties or its sector category. The amplification ratio carries welfare consequences for DePIN that scale with operator exit costs, since hardware deployed for one network cannot be redeployed to a competing protocol the way liquidity can move between DeFi pools.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800"/>
        <w:gridCol w:w="1080"/>
        <w:gridCol w:w="1320"/>
        <w:gridCol w:w="1320"/>
        <w:gridCol w:w="1080"/>
        <w:gridCol w:w="2760"/>
      </w:tblGrid>
      <w:tr>
        <w:trPr>
          <w:cantSplit/>
          <w:tblHeader/>
        </w:trPr>
        <w:tc>
          <w:tcPr>
            <w:tcW w:type="dxa" w:w="1800"/>
            <w:shd w:val="clear" w:fill="F2F2F2"/>
          </w:tcPr>
          <w:tcPr/>
          <w:p>
            <w:pPr>
              <w:keepNext/>
            </w:pPr>
            <w:r>
              <w:rPr>
                <w:b/>
                <w:sz w:val="18"/>
              </w:rPr>
              <w:t xml:space="preserve">Protocol</w:t>
            </w:r>
          </w:p>
        </w:tc>
        <w:tc>
          <w:tcPr>
            <w:tcW w:type="dxa" w:w="1080"/>
            <w:shd w:val="clear" w:fill="F2F2F2"/>
          </w:tcPr>
          <w:tcPr/>
          <w:p>
            <w:pPr>
              <w:keepNext/>
            </w:pPr>
            <w:r>
              <w:rPr>
                <w:b/>
                <w:sz w:val="18"/>
              </w:rPr>
              <w:t xml:space="preserve">Category</w:t>
            </w:r>
          </w:p>
        </w:tc>
        <w:tc>
          <w:tcPr>
            <w:tcW w:type="dxa" w:w="1320"/>
            <w:shd w:val="clear" w:fill="F2F2F2"/>
          </w:tcPr>
          <w:tcPr/>
          <w:p>
            <w:pPr>
              <w:keepNext/>
            </w:pPr>
            <w:r>
              <w:rPr>
                <w:b/>
                <w:sz w:val="18"/>
              </w:rPr>
              <w:t xml:space="preserve">Holding HHI</w:t>
            </w:r>
          </w:p>
        </w:tc>
        <w:tc>
          <w:tcPr>
            <w:tcW w:type="dxa" w:w="1320"/>
            <w:shd w:val="clear" w:fill="F2F2F2"/>
          </w:tcPr>
          <w:tcPr/>
          <w:p>
            <w:pPr>
              <w:keepNext/>
            </w:pPr>
            <w:r>
              <w:rPr>
                <w:b/>
                <w:sz w:val="18"/>
              </w:rPr>
              <w:t xml:space="preserve">Voting HHI</w:t>
            </w:r>
          </w:p>
        </w:tc>
        <w:tc>
          <w:tcPr>
            <w:tcW w:type="dxa" w:w="1080"/>
            <w:shd w:val="clear" w:fill="F2F2F2"/>
          </w:tcPr>
          <w:tcPr/>
          <w:p>
            <w:pPr>
              <w:keepNext/>
            </w:pPr>
            <w:r>
              <w:rPr>
                <w:b/>
                <w:sz w:val="18"/>
              </w:rPr>
              <w:t xml:space="preserve">Ratio</w:t>
            </w:r>
          </w:p>
        </w:tc>
        <w:tc>
          <w:tcPr>
            <w:tcW w:type="dxa" w:w="2760"/>
            <w:shd w:val="clear" w:fill="F2F2F2"/>
          </w:tcPr>
          <w:tcPr/>
          <w:p>
            <w:pPr>
              <w:keepNext/>
            </w:pPr>
            <w:r>
              <w:rPr>
                <w:b/>
                <w:sz w:val="18"/>
              </w:rPr>
              <w:t xml:space="preserve">Source</w:t>
            </w:r>
          </w:p>
        </w:tc>
      </w:tr>
      <w:tr>
        <w:tc>
          <w:tcPr>
            <w:tcW w:type="dxa" w:w="1800"/>
          </w:tcPr>
          <w:tcPr/>
          <w:p>
            <w:r>
              <w:rPr>
                <w:sz w:val="18"/>
              </w:rPr>
              <w:t xml:space="preserve">DIMO</w:t>
            </w:r>
          </w:p>
        </w:tc>
        <w:tc>
          <w:tcPr>
            <w:tcW w:type="dxa" w:w="1080"/>
          </w:tcPr>
          <w:tcPr/>
          <w:p>
            <w:r>
              <w:rPr>
                <w:sz w:val="18"/>
              </w:rPr>
              <w:t xml:space="preserve">DePIN</w:t>
            </w:r>
          </w:p>
        </w:tc>
        <w:tc>
          <w:tcPr>
            <w:tcW w:type="dxa" w:w="1320"/>
          </w:tcPr>
          <w:tcPr/>
          <w:p>
            <w:r>
              <w:rPr>
                <w:sz w:val="18"/>
              </w:rPr>
              <w:t xml:space="preserve">0.038</w:t>
            </w:r>
          </w:p>
        </w:tc>
        <w:tc>
          <w:tcPr>
            <w:tcW w:type="dxa" w:w="1320"/>
          </w:tcPr>
          <w:tcPr/>
          <w:p>
            <w:r>
              <w:rPr>
                <w:sz w:val="18"/>
              </w:rPr>
              <w:t xml:space="preserve">0.228</w:t>
            </w:r>
          </w:p>
        </w:tc>
        <w:tc>
          <w:tcPr>
            <w:tcW w:type="dxa" w:w="1080"/>
          </w:tcPr>
          <w:tcPr/>
          <w:p>
            <w:r>
              <w:rPr>
                <w:sz w:val="18"/>
              </w:rPr>
              <w:t xml:space="preserve">6.0x</w:t>
            </w:r>
          </w:p>
        </w:tc>
        <w:tc>
          <w:tcPr>
            <w:tcW w:type="dxa" w:w="2760"/>
          </w:tcPr>
          <w:tcPr/>
          <w:p>
            <w:r>
              <w:rPr>
                <w:sz w:val="18"/>
              </w:rPr>
              <w:t xml:space="preserve">Snapshot</w:t>
            </w:r>
          </w:p>
        </w:tc>
      </w:tr>
      <w:tr>
        <w:tc>
          <w:tcPr>
            <w:tcW w:type="dxa" w:w="1800"/>
          </w:tcPr>
          <w:tcPr/>
          <w:p>
            <w:r>
              <w:rPr>
                <w:sz w:val="18"/>
              </w:rPr>
              <w:t xml:space="preserve">Lido</w:t>
            </w:r>
          </w:p>
        </w:tc>
        <w:tc>
          <w:tcPr>
            <w:tcW w:type="dxa" w:w="1080"/>
          </w:tcPr>
          <w:tcPr/>
          <w:p>
            <w:r>
              <w:rPr>
                <w:sz w:val="18"/>
              </w:rPr>
              <w:t xml:space="preserve">DeFi</w:t>
            </w:r>
          </w:p>
        </w:tc>
        <w:tc>
          <w:tcPr>
            <w:tcW w:type="dxa" w:w="1320"/>
          </w:tcPr>
          <w:tcPr/>
          <w:p>
            <w:r>
              <w:rPr>
                <w:sz w:val="18"/>
              </w:rPr>
              <w:t xml:space="preserve">0.018</w:t>
            </w:r>
          </w:p>
        </w:tc>
        <w:tc>
          <w:tcPr>
            <w:tcW w:type="dxa" w:w="1320"/>
          </w:tcPr>
          <w:tcPr/>
          <w:p>
            <w:r>
              <w:rPr>
                <w:sz w:val="18"/>
              </w:rPr>
              <w:t xml:space="preserve">0.088</w:t>
            </w:r>
          </w:p>
        </w:tc>
        <w:tc>
          <w:tcPr>
            <w:tcW w:type="dxa" w:w="1080"/>
          </w:tcPr>
          <w:tcPr/>
          <w:p>
            <w:r>
              <w:rPr>
                <w:sz w:val="18"/>
              </w:rPr>
              <w:t xml:space="preserve">4.8x</w:t>
            </w:r>
          </w:p>
        </w:tc>
        <w:tc>
          <w:tcPr>
            <w:tcW w:type="dxa" w:w="2760"/>
          </w:tcPr>
          <w:tcPr/>
          <w:p>
            <w:r>
              <w:rPr>
                <w:sz w:val="18"/>
              </w:rPr>
              <w:t xml:space="preserve">Snapshot</w:t>
            </w:r>
          </w:p>
        </w:tc>
      </w:tr>
      <w:tr>
        <w:tc>
          <w:tcPr>
            <w:tcW w:type="dxa" w:w="1800"/>
          </w:tcPr>
          <w:tcPr/>
          <w:p>
            <w:r>
              <w:rPr>
                <w:sz w:val="18"/>
              </w:rPr>
              <w:t xml:space="preserve">WeatherXM</w:t>
            </w:r>
          </w:p>
        </w:tc>
        <w:tc>
          <w:tcPr>
            <w:tcW w:type="dxa" w:w="1080"/>
          </w:tcPr>
          <w:tcPr/>
          <w:p>
            <w:r>
              <w:rPr>
                <w:sz w:val="18"/>
              </w:rPr>
              <w:t xml:space="preserve">DePIN</w:t>
            </w:r>
          </w:p>
        </w:tc>
        <w:tc>
          <w:tcPr>
            <w:tcW w:type="dxa" w:w="1320"/>
          </w:tcPr>
          <w:tcPr/>
          <w:p>
            <w:r>
              <w:rPr>
                <w:sz w:val="18"/>
              </w:rPr>
              <w:t xml:space="preserve">0.148</w:t>
            </w:r>
          </w:p>
        </w:tc>
        <w:tc>
          <w:tcPr>
            <w:tcW w:type="dxa" w:w="1320"/>
          </w:tcPr>
          <w:tcPr/>
          <w:p>
            <w:r>
              <w:rPr>
                <w:sz w:val="18"/>
              </w:rPr>
              <w:t xml:space="preserve">0.486</w:t>
            </w:r>
          </w:p>
        </w:tc>
        <w:tc>
          <w:tcPr>
            <w:tcW w:type="dxa" w:w="1080"/>
          </w:tcPr>
          <w:tcPr/>
          <w:p>
            <w:r>
              <w:rPr>
                <w:sz w:val="18"/>
              </w:rPr>
              <w:t xml:space="preserve">3.3x</w:t>
            </w:r>
          </w:p>
        </w:tc>
        <w:tc>
          <w:tcPr>
            <w:tcW w:type="dxa" w:w="2760"/>
          </w:tcPr>
          <w:tcPr/>
          <w:p>
            <w:r>
              <w:rPr>
                <w:sz w:val="18"/>
              </w:rPr>
              <w:t xml:space="preserve">Snapshot</w:t>
            </w:r>
          </w:p>
        </w:tc>
      </w:tr>
      <w:tr>
        <w:tc>
          <w:tcPr>
            <w:tcW w:type="dxa" w:w="1800"/>
          </w:tcPr>
          <w:tcPr/>
          <w:p>
            <w:r>
              <w:rPr>
                <w:sz w:val="18"/>
              </w:rPr>
              <w:t xml:space="preserve">Compound</w:t>
            </w:r>
          </w:p>
        </w:tc>
        <w:tc>
          <w:tcPr>
            <w:tcW w:type="dxa" w:w="1080"/>
          </w:tcPr>
          <w:tcPr/>
          <w:p>
            <w:r>
              <w:rPr>
                <w:sz w:val="18"/>
              </w:rPr>
              <w:t xml:space="preserve">DeFi</w:t>
            </w:r>
          </w:p>
        </w:tc>
        <w:tc>
          <w:tcPr>
            <w:tcW w:type="dxa" w:w="1320"/>
          </w:tcPr>
          <w:tcPr/>
          <w:p>
            <w:r>
              <w:rPr>
                <w:sz w:val="18"/>
              </w:rPr>
              <w:t xml:space="preserve">0.028</w:t>
            </w:r>
          </w:p>
        </w:tc>
        <w:tc>
          <w:tcPr>
            <w:tcW w:type="dxa" w:w="1320"/>
          </w:tcPr>
          <w:tcPr/>
          <w:p>
            <w:r>
              <w:rPr>
                <w:sz w:val="18"/>
              </w:rPr>
              <w:t xml:space="preserve">0.053</w:t>
            </w:r>
          </w:p>
        </w:tc>
        <w:tc>
          <w:tcPr>
            <w:tcW w:type="dxa" w:w="1080"/>
          </w:tcPr>
          <w:tcPr/>
          <w:p>
            <w:r>
              <w:rPr>
                <w:sz w:val="18"/>
              </w:rPr>
              <w:t xml:space="preserve">1.9x</w:t>
            </w:r>
          </w:p>
        </w:tc>
        <w:tc>
          <w:tcPr>
            <w:tcW w:type="dxa" w:w="2760"/>
          </w:tcPr>
          <w:tcPr/>
          <w:p>
            <w:pPr/>
            <w:del w:id="1021" w:author="Zach Zukowski (R1 revision)" w:date="2026-05-10T00:00:00Z">
              <w:r>
                <w:rPr>
                  <w:strike w:val="true"/>
                  <w:color w:val="C00000"/>
                </w:rPr>
                <w:delText xml:space="preserve">Tally</w:delText>
              </w:r>
            </w:del>
            <w:ins w:id="1022" w:author="Zach Zukowski (R1 revision)" w:date="2026-05-10T00:00:00Z">
              <w:r>
                <w:rPr>
                  <w:color w:val="0070C0"/>
                </w:rPr>
                <w:t xml:space="preserve">Snapshot†</w:t>
              </w:r>
            </w:ins>
          </w:p>
        </w:tc>
      </w:tr>
      <w:tr>
        <w:tc>
          <w:tcPr>
            <w:tcW w:type="dxa" w:w="1800"/>
          </w:tcPr>
          <w:tcPr/>
          <w:p>
            <w:r>
              <w:rPr>
                <w:sz w:val="18"/>
              </w:rPr>
              <w:t xml:space="preserve">Aave</w:t>
            </w:r>
          </w:p>
        </w:tc>
        <w:tc>
          <w:tcPr>
            <w:tcW w:type="dxa" w:w="1080"/>
          </w:tcPr>
          <w:tcPr/>
          <w:p>
            <w:r>
              <w:rPr>
                <w:sz w:val="18"/>
              </w:rPr>
              <w:t xml:space="preserve">DeFi</w:t>
            </w:r>
          </w:p>
        </w:tc>
        <w:tc>
          <w:tcPr>
            <w:tcW w:type="dxa" w:w="1320"/>
          </w:tcPr>
          <w:tcPr/>
          <w:p>
            <w:r>
              <w:rPr>
                <w:sz w:val="18"/>
              </w:rPr>
              <w:t>0.020</w:t>
            </w:r>
          </w:p>
        </w:tc>
        <w:tc>
          <w:tcPr>
            <w:tcW w:type="dxa" w:w="1320"/>
          </w:tcPr>
          <w:tcPr/>
          <w:p>
            <w:r>
              <w:rPr>
                <w:sz w:val="18"/>
              </w:rPr>
              <w:t xml:space="preserve">0.076</w:t>
            </w:r>
          </w:p>
        </w:tc>
        <w:tc>
          <w:tcPr>
            <w:tcW w:type="dxa" w:w="1080"/>
          </w:tcPr>
          <w:tcPr/>
          <w:p>
            <w:r>
              <w:rPr>
                <w:sz w:val="18"/>
              </w:rPr>
              <w:t>3.8x</w:t>
            </w:r>
          </w:p>
        </w:tc>
        <w:tc>
          <w:tcPr>
            <w:tcW w:type="dxa" w:w="2760"/>
          </w:tcPr>
          <w:tcPr/>
          <w:p>
            <w:r>
              <w:rPr>
                <w:sz w:val="18"/>
              </w:rPr>
              <w:t xml:space="preserve">Tally</w:t>
            </w:r>
          </w:p>
        </w:tc>
      </w:tr>
      <w:tr>
        <w:tc>
          <w:tcPr>
            <w:tcW w:type="dxa" w:w="1800"/>
          </w:tcPr>
          <w:tcPr/>
          <w:p>
            <w:r>
              <w:rPr>
                <w:sz w:val="18"/>
              </w:rPr>
              <w:t xml:space="preserve">Uniswap</w:t>
            </w:r>
          </w:p>
        </w:tc>
        <w:tc>
          <w:tcPr>
            <w:tcW w:type="dxa" w:w="1080"/>
          </w:tcPr>
          <w:tcPr/>
          <w:p>
            <w:r>
              <w:rPr>
                <w:sz w:val="18"/>
              </w:rPr>
              <w:t xml:space="preserve">DeFi</w:t>
            </w:r>
          </w:p>
        </w:tc>
        <w:tc>
          <w:tcPr>
            <w:tcW w:type="dxa" w:w="1320"/>
          </w:tcPr>
          <w:tcPr/>
          <w:p>
            <w:r>
              <w:rPr>
                <w:sz w:val="18"/>
              </w:rPr>
              <w:t>0.032</w:t>
            </w:r>
          </w:p>
        </w:tc>
        <w:tc>
          <w:tcPr>
            <w:tcW w:type="dxa" w:w="1320"/>
          </w:tcPr>
          <w:tcPr/>
          <w:p>
            <w:r>
              <w:rPr>
                <w:sz w:val="18"/>
              </w:rPr>
              <w:t xml:space="preserve">0.027</w:t>
            </w:r>
          </w:p>
        </w:tc>
        <w:tc>
          <w:tcPr>
            <w:tcW w:type="dxa" w:w="1080"/>
          </w:tcPr>
          <w:tcPr/>
          <w:p>
            <w:r>
              <w:rPr>
                <w:sz w:val="18"/>
              </w:rPr>
              <w:t>0.84x</w:t>
            </w:r>
          </w:p>
        </w:tc>
        <w:tc>
          <w:tcPr>
            <w:tcW w:type="dxa" w:w="2760"/>
          </w:tcPr>
          <w:tcPr/>
          <w:p>
            <w:r>
              <w:rPr>
                <w:sz w:val="18"/>
              </w:rPr>
              <w:t xml:space="preserve">Tally</w:t>
            </w:r>
          </w:p>
        </w:tc>
      </w:tr>
      <w:tr>
        <w:tc>
          <w:tcPr>
            <w:tcW w:type="dxa" w:w="1800"/>
          </w:tcPr>
          <w:tcPr/>
          <w:p>
            <w:r>
              <w:rPr>
                <w:sz w:val="18"/>
              </w:rPr>
              <w:t xml:space="preserve">Arbitrum</w:t>
            </w:r>
          </w:p>
        </w:tc>
        <w:tc>
          <w:tcPr>
            <w:tcW w:type="dxa" w:w="1080"/>
          </w:tcPr>
          <w:tcPr/>
          <w:p>
            <w:r>
              <w:rPr>
                <w:sz w:val="18"/>
              </w:rPr>
              <w:t xml:space="preserve">Infra</w:t>
            </w:r>
          </w:p>
        </w:tc>
        <w:tc>
          <w:tcPr>
            <w:tcW w:type="dxa" w:w="1320"/>
          </w:tcPr>
          <w:tcPr/>
          <w:p>
            <w:r>
              <w:rPr>
                <w:sz w:val="18"/>
              </w:rPr>
              <w:t>0.012</w:t>
            </w:r>
          </w:p>
        </w:tc>
        <w:tc>
          <w:tcPr>
            <w:tcW w:type="dxa" w:w="1320"/>
          </w:tcPr>
          <w:tcPr/>
          <w:p>
            <w:r>
              <w:rPr>
                <w:sz w:val="18"/>
              </w:rPr>
              <w:t xml:space="preserve">0.052</w:t>
            </w:r>
          </w:p>
        </w:tc>
        <w:tc>
          <w:tcPr>
            <w:tcW w:type="dxa" w:w="1080"/>
          </w:tcPr>
          <w:tcPr/>
          <w:p>
            <w:r>
              <w:rPr>
                <w:sz w:val="18"/>
              </w:rPr>
              <w:t>4.3x</w:t>
            </w:r>
          </w:p>
        </w:tc>
        <w:tc>
          <w:tcPr>
            <w:tcW w:type="dxa" w:w="2760"/>
          </w:tcPr>
          <w:tcPr/>
          <w:p>
            <w:pPr/>
            <w:del w:id="1023" w:author="Zach Zukowski (R1 revision)" w:date="2026-05-10T00:00:00Z">
              <w:r>
                <w:rPr>
                  <w:strike w:val="true"/>
                  <w:color w:val="C00000"/>
                </w:rPr>
                <w:delText xml:space="preserve">Tally</w:delText>
              </w:r>
            </w:del>
            <w:ins w:id="1024" w:author="Zach Zukowski (R1 revision)" w:date="2026-05-10T00:00:00Z">
              <w:r>
                <w:rPr>
                  <w:color w:val="0070C0"/>
                </w:rPr>
                <w:t xml:space="preserve">Snapshot†</w:t>
              </w:r>
            </w:ins>
          </w:p>
        </w:tc>
      </w:tr>
      <w:tr>
        <w:tc>
          <w:tcPr>
            <w:tcW w:type="dxa" w:w="1800"/>
          </w:tcPr>
          <w:tcPr/>
          <w:p>
            <w:r>
              <w:rPr>
                <w:sz w:val="18"/>
              </w:rPr>
              <w:t xml:space="preserve">Optimism</w:t>
            </w:r>
          </w:p>
        </w:tc>
        <w:tc>
          <w:tcPr>
            <w:tcW w:type="dxa" w:w="1080"/>
          </w:tcPr>
          <w:tcPr/>
          <w:p>
            <w:r>
              <w:rPr>
                <w:sz w:val="18"/>
              </w:rPr>
              <w:t xml:space="preserve">Infra</w:t>
            </w:r>
          </w:p>
        </w:tc>
        <w:tc>
          <w:tcPr>
            <w:tcW w:type="dxa" w:w="1320"/>
          </w:tcPr>
          <w:tcPr/>
          <w:p>
            <w:r>
              <w:rPr>
                <w:sz w:val="18"/>
              </w:rPr>
              <w:t>0.042</w:t>
            </w:r>
          </w:p>
        </w:tc>
        <w:tc>
          <w:tcPr>
            <w:tcW w:type="dxa" w:w="1320"/>
          </w:tcPr>
          <w:tcPr/>
          <w:p>
            <w:r>
              <w:rPr>
                <w:sz w:val="18"/>
              </w:rPr>
              <w:t xml:space="preserve">0.033</w:t>
            </w:r>
          </w:p>
        </w:tc>
        <w:tc>
          <w:tcPr>
            <w:tcW w:type="dxa" w:w="1080"/>
          </w:tcPr>
          <w:tcPr/>
          <w:p>
            <w:r>
              <w:rPr>
                <w:sz w:val="18"/>
              </w:rPr>
              <w:t>0.79x</w:t>
            </w:r>
          </w:p>
        </w:tc>
        <w:tc>
          <w:tcPr>
            <w:tcW w:type="dxa" w:w="2760"/>
          </w:tcPr>
          <w:tcPr/>
          <w:p>
            <w:r>
              <w:rPr>
                <w:sz w:val="18"/>
              </w:rPr>
              <w:t xml:space="preserve">Tally</w:t>
            </w:r>
          </w:p>
        </w:tc>
      </w:tr>
    </w:tbl>
    <w:p>
      <w:pPr>
        <w:pStyle w:val="Normal"/>
      </w:pPr>
      <w:r>
        <w:rPr>
          <w:b/>
          <w:i/>
          <w:sz w:val="20"/>
        </w:rPr>
        <w:t xml:space="preserve">Table 7. </w:t>
      </w:r>
      <w:r>
        <w:rPr>
          <w:i/>
          <w:sz w:val="20"/>
        </w:rPr>
        <w:t>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p>
      <w:pPr>
        <w:pStyle w:val="Normal"/>
        <w:rPr/>
        <w:rPr/>
      </w:pPr>
      <w:ins w:id="1049" w:author="Zach Zukowski (R1 revision)" w:date="2026-05-10T00:00:00Z">
        <w:r>
          <w:t xml:space="preserve">† Compound and Arbitrum voting HHI sourced from Snapshot (n = 114 and n = 5,241 unique voters in the measurement window respectively) where Snapshot's active-voter pool exceeded Tally's top-100-delegate sampling. AAVE, Uniswap, and Optimism use Tally; DIMO, WeatherXM, and Lido use Snapshot (Tally is not deployed for these protocols).</w:t>
        </w:r>
      </w:ins>
    </w:p>
    <w:p>
      <w:pPr>
        <w:pStyle w:val="Heading2"/>
      </w:pPr>
      <w:r>
        <w:t xml:space="preserve">3.6 Hypothesis Evidence Status</w:t>
      </w:r>
    </w:p>
    <w:p>
      <w:r>
        <w:rPr>
          <w:b w:val="0"/>
        </w:rPr>
        <w:t>This section maps the governance concentration evidence to the five design hypotheses introduced in Section 2.9. Hypotheses 1 and 2 receive direct support from the cross-section; Hypotheses 3 through 5 require longitudinal evidence beyond this paper's cross-sectional scope, developed in the companion case study (Zukowski, 2026a) using 34 months of Helium data. Full evidence status appears in Supplementary Table S1.</w:t>
      </w:r>
    </w:p>
    <w:p>
      <w:r>
        <w:rPr>
          <w:b w:val="0"/>
        </w:rPr>
        <w:t>The governance concentration data (Table 4) provide descriptive evidence bearing on Hypotheses 1 (publicity-legitimacy) and 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indicating that high concentration in DePIN is not structurally predetermined. Hypotheses 3 through 5 are not directly tested with the governance concentration data in this paper and require additional evidence (fiscal flow analysis, operational telemetry, and polycentric structure mapping respectively).</w:t>
      </w:r>
    </w:p>
    <w:p>
      <w:pPr>
        <w:pStyle w:val="Heading2"/>
      </w:pPr>
      <w:r>
        <w:t xml:space="preserve">3.7 Robustness: Leave-One-Out Sensitivity</w:t>
      </w:r>
    </w:p>
    <w:p>
      <w:pPr>
        <w:pStyle w:val="Normal"/>
        <w:rPr/>
        <w:rPr/>
      </w:pPr>
      <w:ins w:id="1047" w:author="Zach Zukowski (R1 revision)" w:date="2026-05-10T00:00:00Z">
        <w:r>
          <w:t xml:space="preserve">Per Reviewer 1 and Reviewer 2 guidance: the cross-sectional sample size (N = 30 for the DePIN-vs-DeFi sector contrast; N = 19 for the subsidy excluding Livepeer test) bounds the strength of inference. Sector-level results are robust to individual observations: Mann-Whitney is significant in all 30 of 30 leave-one-out resamples following the holder-list cutoff correction. Findings throughout the paper are reported as 'consistent with' or 'indicating' rather than 'driving' or 'producing'; the cross-sectional design supports descriptive claims about association rather than causal claims about mechanism.</w:t>
        </w:r>
      </w:ins>
    </w:p>
    <w:p>
      <w:r>
        <w:rPr>
          <w:b w:val="0"/>
        </w:rPr>
        <w:t>All primary findings were tested by dropping each protocol one at a time and recomputing the statistic. The insider-retention correlation is fully robust. The DePIN-DeFi sector difference is fully robust to single-protocol exclusion (significant across all 30 of 30 leave-one-out iterations after the F1 holder-list correction). The subsidy correlation is entirely driven by Livepeer. Details follow.</w:t>
      </w:r>
    </w:p>
    <w:p>
      <w:r>
        <w:rPr>
          <w:b w:val="0"/>
        </w:rPr>
        <w:t>The insider concentration relationship (Spearman rho = 0.44, p = 0.005) is robust: it remains significant across all 39 single-protocol exclusions, with rho ranging from 0.41 to 0.50 and p-values from 0.001 to 0.011. Neither the highest-insider protocols (DIMO and MetaDAO, insider fraction 1.0) nor the zero-insider protocols (Hyperliquid, Optimism, Arbitrum) individually drive the result.</w:t>
      </w:r>
    </w:p>
    <w:p>
      <w:r>
        <w:rPr>
          <w:b w:val="0"/>
        </w:rPr>
        <w:t>The DePIN-versus-DeFi sector difference (Mann-Whitney p = 0.014, Cohen’s d = 1.03) is robust to sample composition. The test remains significant in all 30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0.009, consistent with the direction not being an artifact of the asymptotic approximation. We characterize this finding as suggestive rather than robust.</w:t>
      </w:r>
    </w:p>
    <w:p>
      <w:r>
        <w:rPr>
          <w:b w:val="0"/>
        </w:rPr>
        <w:t xml:space="preserve">The subsidy-to-concentration correlation (Pearson r = 0.57, p = 0.008, N = 20) is driven by a single protocol. Livepeer’s subsidy ratio of 88.5x is a 3.5-sigma outlier on the subsidy axis, and its HHI (0.20) is the second-highest in the subsidy subsample. Excluding Livepeer alone reduces the correlation to r = 0.11 (p = 0.65).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 robustness check using a Token Terminal expansion sample (N = 22) is consistent with the null at cross-sector Pearson r = 0.095 (p = 0.674); per-sector results in </w:t>
      </w:r>
      <w:hyperlink r:id="rId25" w:history="1">
        <w:r>
          <w:rPr>
            <w:color w:val="0563C1"/>
            <w:u w:val="single"/>
          </w:rPr>
          <w:t xml:space="preserve">Supplementary File S8</w:t>
        </w:r>
      </w:hyperlink>
      <w:r>
        <w:rPr>
          <w:b w:val="0"/>
        </w:rPr>
        <w:t xml:space="preserve">.</w:t>
      </w:r>
    </w:p>
    <w:p>
      <w:pPr>
        <w:jc w:val="center"/>
      </w:pPr>
      <w:r>
        <w:drawing>
          <wp:inline distT="0" distB="0" distL="0" distR="0">
            <wp:extent cx="5943600" cy="3962955"/>
            <wp:docPr id="108" name="Figure 7"/>
            <a:graphic>
              <a:graphicData uri="http://schemas.openxmlformats.org/drawingml/2006/picture">
                <pic:pic>
                  <pic:nvPicPr>
                    <pic:cNvPr id="108" name="Figure 7"/>
                    <pic:cNvPicPr/>
                  </pic:nvPicPr>
                  <pic:blipFill>
                    <a:blip r:embed="rId17"/>
                    <a:stretch>
                      <a:fillRect/>
                    </a:stretch>
                  </pic:blipFill>
                  <pic:spPr>
                    <a:xfrm>
                      <a:off x="0" y="0"/>
                      <a:ext cx="5943600" cy="3962955"/>
                    </a:xfrm>
                    <a:prstGeom prst="rect">
                      <a:avLst/>
                    </a:prstGeom>
                  </pic:spPr>
                </pic:pic>
              </a:graphicData>
            </a:graphic>
          </wp:inline>
        </w:drawing>
      </w:r>
    </w:p>
    <w:p>
      <w:r>
        <w:rPr>
          <w:b/>
          <w:i/>
          <w:sz w:val="20"/>
        </w:rPr>
        <w:t xml:space="preserve">Figure 7. </w:t>
      </w:r>
      <w:r>
        <w:rPr>
          <w:i/>
          <w:sz w:val="20"/>
        </w:rPr>
        <w:t xml:space="preserve">Subsidy ratio (emissions/revenue) vs. governance concentration (HHI) for 20 protocols with on-chain subsidy data. Livepeer (diamond, 88.5x) is a 3.5-sigma outlier that alone drives the Pearson correlation from r = 0.11 (dashed line, excluding Livepeer) to r = 0.57 (solid line, full sample). The expanded Token Terminal sample (N = 22, </w:t>
      </w:r>
      <w:hyperlink r:id="rId25" w:history="1">
        <w:r>
          <w:rPr>
            <w:color w:val="0563C1"/>
            <w:u w:val="single"/>
          </w:rPr>
          <w:t xml:space="preserve">Supplementary File S8</w:t>
        </w:r>
      </w:hyperlink>
      <w:r>
        <w:rPr>
          <w:i/>
          <w:sz w:val="20"/>
        </w:rPr>
        <w:t xml:space="preserve">) is consistent with the null at r = 0.095.</w:t>
      </w:r>
      <w:ins w:id="1060" w:author="Zach Zukowski (R1 revision)" w:date="2026-05-10T00:00:00Z">
        <w:r>
          <w:rPr>
            <w:color w:val="0070C0"/>
          </w:rPr>
          <w:t xml:space="preserve"> Reading the figure: the cross-sector association weakens substantially when Livepeer is excluded, indicating the headline subsidy result is sensitive to a single high-leverage protocol.</w:t>
        </w:r>
      </w:ins>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r>
        <w:rPr>
          <w:b w:val="0"/>
        </w:rPr>
        <w:t xml:space="preserve">Governance concentration shows no association with voter participation rates (r = 0.00, N = 13; Figure 8), consistent with the Olson (1965) collective action prediction that participation decisions reflect rational abstention and diffusion of responsibility rather than ownership structure.</w:t>
      </w:r>
    </w:p>
    <w:p>
      <w:pPr>
        <w:jc w:val="center"/>
      </w:pPr>
      <w:r>
        <w:drawing>
          <wp:inline distT="0" distB="0" distL="0" distR="0">
            <wp:extent cx="5029200" cy="3670153"/>
            <wp:docPr id="106" name="Figure 8"/>
            <a:graphic>
              <a:graphicData uri="http://schemas.openxmlformats.org/drawingml/2006/picture">
                <pic:pic>
                  <pic:nvPicPr>
                    <pic:cNvPr id="106" name="Figure 8"/>
                    <pic:cNvPicPr/>
                  </pic:nvPicPr>
                  <pic:blipFill>
                    <a:blip r:embed="rId15"/>
                    <a:stretch>
                      <a:fillRect/>
                    </a:stretch>
                  </pic:blipFill>
                  <pic:spPr>
                    <a:xfrm>
                      <a:off x="0" y="0"/>
                      <a:ext cx="5029200" cy="3670153"/>
                    </a:xfrm>
                    <a:prstGeom prst="rect">
                      <a:avLst/>
                    </a:prstGeom>
                  </pic:spPr>
                </pic:pic>
              </a:graphicData>
            </a:graphic>
          </wp:inline>
        </w:drawing>
      </w:r>
    </w:p>
    <w:p>
      <w:r>
        <w:rPr>
          <w:b/>
          <w:i/>
          <w:sz w:val="20"/>
        </w:rPr>
        <w:t xml:space="preserve">Figure 8. </w:t>
      </w:r>
      <w:r>
        <w:rPr>
          <w:i/>
          <w:sz w:val="20"/>
        </w:rPr>
        <w:t>HHI vs. average voter participation for 13 protocols with Snapshot or Governor governance data. Governance concentration shows no association with voter participation (r = 0.00, N = 13). Five protocols (GMX, ENS, Rocket Pool, Gitcoin, Balancer) were added via Snapshot API; four Tier 1 spaces (CRV, GRT, IOTX, OP) had zero proposals in the trailing 12 months and are excluded.</w:t>
      </w:r>
      <w:ins w:id="1061" w:author="Zach Zukowski (R1 revision)" w:date="2026-05-10T00:00:00Z">
        <w:r>
          <w:rPr>
            <w:color w:val="0070C0"/>
          </w:rPr>
          <w:t xml:space="preserve"> Reading the figure: the slope is approximately flat, indicating voter participation does not predict concentration in this 13-protocol sample.</w:t>
        </w:r>
      </w:ins>
    </w:p>
    <w:p>
      <w:pPr>
        <w:pStyle w:val="Heading1"/>
      </w:pPr>
      <w:r>
        <w:t xml:space="preserve">4 Discussion</w:t>
      </w:r>
    </w:p>
    <w:p>
      <w:pPr>
        <w:pStyle w:val="Heading2"/>
      </w:pPr>
      <w:r>
        <w:t xml:space="preserve">4.1 Design Hypotheses</w:t>
      </w:r>
    </w:p>
    <w:p>
      <w:r>
        <w:t xml:space="preserve">No protocol in the corrected cross-section exceeds the 0.25 HHI antitrust threshold, but the conditions that publicity and non-domination traditions identify as problematic are already present at the upper end of the distribution: Livepeer (0.199), WeatherXM (0.148), and CRV (0.171) all sit in territory where governance decisions can disproportionately reflect a small set of holders’ preferences. The cross-section provides descriptive evidence most directly relevant to Hypotheses 1 (publicity-legitimacy) and 2 (contestability), indirect evidence for Hypotheses 4 and 5 (adaptivity, polycentricity), and identifies three evidence frontiers (capability, contextual integrity, cosmopolitanism). We organize the discussion by what the data directly demonstrate, what they constrain, and what lies beyond the current evidence base. </w:t>
      </w:r>
    </w:p>
    <w:p>
      <w:r>
        <w:t>Governance concentration patterns relate most directly to Hypotheses 1 (publicity-legitimacy) and 2 (contestability), with Rawlsian fairness implications. Protocols at the upper end of the concentration range (Livepeer 0.199, WeatherXM 0.148, GEODNET 0.133) exhibit concentration the framework flags for scrutiny, though no protocol in the corrected cross-section exceeds the 0.25 antitrust threshold. Three concerns arise even at these levels: governance decisions disproportionately reflect a small set of holders’ preferences, thinning Kantian public justification; DePIN operators who deploy hardware hold insufficient tokens to influence outcomes affecting their investments, a Rawlsian fairness concern; and few holders can override community preferences without formal contestation, a republican non-domination concern. The counterexample (Anyone, HHI 0.040) demonstrates that these conditions are not structurally inherent to DePIN architecture. Among DeFi benchmarks, Compound’s lower concentration (HHI 0.027) partly reflects active delegation, suggesting institutional design can reduce effective concentration without token redistribution.</w:t>
      </w:r>
    </w:p>
    <w:p>
      <w:r>
        <w:t>Hypotheses 4 (service-over-presence) and 5 (polycentric adaptation) cannot be tested directly with the HHI cross-section because it measures token concentration rather than governance structure diversity. The data reveal a structural constraint nonetheless: operators closest to the service (those with the most relevant operational knowledge) cannot influence governance decisions if they hold small token positions. The Helium case (Zukowski, 2026a) demonstrates that polycentric features (subDAOs, councils, delegation hierarchies) can reduce effective concentration without redistribution: HIP-147 succeeded partly because Helium’s governance process channeled edge-operator input despite concentrated holdings. A companion simulation (Zukowski, 2026b) extends these results to adaptive emission controllers, finding that the primary value of polycentric mechanisms is preventing collapse rather than improving averages.</w:t>
      </w:r>
    </w:p>
    <w:p>
      <w:r>
        <w:t>A companion study (Zukowski, 2026a) documents a related concentration risk in DePIN fiscal sustainability: Helium’s aggregate Spend-to-Reward ratio crossed fiscal parity, but approximately five purchasers account for 90% of token burns, a concentration invisible to aggregate metrics. Governance and demand concentration are distinct failure modes that can coexist. The same companion study provides the strongest longitudinal test of Hypotheses 3 and 4: Helium’s S2R trajectory over 34 months documents how demand-coupled burns drove S2R from 0.013 to 2.06 after transitioning to service-verified rewards and completing the August 2025 halving, with DC burns exceeding HNT emissions by approximately 84% and contributing to a 3 to 4% net annual deflation rate (Zukowski, 2026a; Blockworks, 2026). The trajectory is consistent with Hypothesis 3 (the sink was deployed and observable before the emission reduction, producing a sustained surplus at the subnetwork level) and with Hypothesis 4 (the shift from coverage-based to service-based rewards coincided with revenue rising from $6,500 monthly across 975,000 IoT hotspots to $18.3 million annualized by Q3 2025; Bane &amp; Gala, 2026). Neither hypothesis is confirmed by a single case, but the directional evidence is the strongest available in the DePIN sector.</w:t>
      </w:r>
    </w:p>
    <w:p>
      <w:r>
        <w:t xml:space="preserve">Resource Dependence Theory (Pfeffer &amp; Salancik, 1978) predicts that demand concentration transfers strategic leverage to concentrated buyers independent of governance token distribution, creating a vulnerability that governance reforms alone cannot address; the companion study (Zukowski, 2026a) documents this separation empirically across four DePIN protocols.</w:t>
      </w:r>
    </w:p>
    <w:p>
      <w:r>
        <w:rPr/>
        <w:t>The governance concentration documented here also has an industrial organization interpretation: concentrated token holders who control emission and reward parameters function as oligopsonist buyers of operator services (Williamson, 1999). When governance power exceeds the efficient bilateral-bargaining threshold, the resulting monopsonistic markdown on operator compensation produces allocative inefficiency; operators exit, degrading network output. The Compound Proposal 289 incident (July 2024) illustrates a complementary failure mode in which strategic vote timing enabled minority capture of treasury funds, underscoring that formal contestability mechanisms (Hypothesis 2) must include temporal safeguards.</w:t>
      </w:r>
    </w:p>
    <w:p>
      <w:r>
        <w:t xml:space="preserve">The empirical gap that Alshater (2026) identifies as the most pressing in current DePIN tokenomics research is the absence of rigorous quantitative evaluation of competing economic models. Alshater calls for event-study analyses of governance interventions such as Helium’s HIP-138 and Hivemapper’s MIP-19, comparative sectoral analysis of why specific tokenomic models prevail in particular DePIN sectors, and empirical examination of how DAO characteristics affect network performance. The cross-sectional results reported here address the third of these gaps along two complementary dimensions. First, the insider-retention finding (Spearman rho = 0.44, p = 0.005, N = 39, leave-one-out significant in 39 of 39 iterations) provides evidence consistent with the proposition that token distribution characteristics in current holder positions are robustly associated with governance concentration measured by HHI, while the allocation-design null (Pearson r = 0.18, p = 0.28, N = 37) constrains the alternative hypothesis that initial distribution choices predict downstream concentration. Second, the delegation-adjusted analysis reported in Section 3.5 extends Fritsch et al. (2024) to a cross-section of eight protocols spanning DeFi, DePIN, and infrastructure categories. The analysis documents amplification factors of 3 to 6 in DePIN protocols and heterogeneous outcomes within the infrastructure subsample (Optimism 0.79 times, Arbitrum 4.3 times). This within-sector heterogeneity is consistent with the broader claim of this paper that institutional design at the operator and router level shapes governance outcomes more than the token’s surface properties or sector classification. Event-study evidence on the governance interventions Alshater highlights is the subject of follow-up work using HIP-138 and other interventions as natural experiments.</w:t>
      </w:r>
    </w:p>
    <w:p>
      <w:r>
        <w:t>Evidence gaps and research frontiers. Three directions lie beyond governance token data. First, capability-oriented evaluation (following Sen and Nussbaum) requires participant-level data on income, skill development, and infrastructure access that no protocol instruments at scale; a companion 13-protocol DePIN vertical study documents this gap (Zukowski, 2026a). Second, contextual integrity (following Floridi and Nissenbaum) requires trust and data governance metrics; concentrated governance means decisions about data use and privacy norms are made by a small group rather than the community whose data is at stake, particularly for protocols collecting location data (Helium), vehicle telemetry (DIMO), or health data (CUDIS). Third, cosmopolitan inclusion (following Appiah) identifies a tension the data indicate descriptively: most DePIN protocols have global operator bases but concentrated governance, meaning geographic inclusion coexists with governance exclusion.</w:t>
      </w:r>
    </w:p>
    <w:p>
      <w:pPr>
        <w:pStyle w:val="Heading2"/>
      </w:pPr>
      <w:r>
        <w:t xml:space="preserve">4.2 Governance Design Implications</w:t>
      </w:r>
    </w:p>
    <w:p>
      <w:r>
        <w:rPr/>
        <w:t>Governance concentration emerges from what happens after tokens are distributed, not from how they are allocated at launch. The practical implication: evaluating how concentrated a protocol's governance actually is means tracking whether insiders retain top-holder positions and how delegation reshapes voting power over time, rather than inspecting whether the initial token allocation favored the community. Five design implications follow, grounded in implemented protocols where evidence is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0.52 to 0.99; Table 4; Livepeer excluded </w:t>
      </w:r>
      <w:r>
        <w:t>because its cross-chain bridge architecture prevents accurate Gini computation from single-chain holder data)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 Ownership concentration improves baseline token returns but actively suppresses the marginal value of information cascades generated by broader participation (Buddensiek and Momtaz, 2025), suggesting that the governance concentration documented here carries epistemic costs beyond the political legitimacy concerns the normative framework identifies.</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exercise unchecked power. Table 4 shows several tokens in the “highly concentrated” regime before delegated voting; the CRV case (HHI 0.171) illustrates how locking mechanisms amplify concentration; Convex holds ~47% of veCRV (DeFi Llama, 2026).</w:t>
        <w:br/>
        <w:t>Design implication: treat integrity as an institutional layer. Separation of powers (e.g., Optimism’s bicameral structure), independent security councils with narrowly scoped veto authority, mandatory timelocks, and public disclosure for large delegates are especially important in GeoDePINs where operators face governance outcomes without proportionate token power.</w:t>
      </w:r>
    </w:p>
    <w:p>
      <w:r>
        <w:rPr/>
        <w:t>Appeals and Dispute Resolution Contestability requires formal appeal mechanisms. HIP-147’s acceptance (even by operators whose rewards were reduced; see Zukowski, 2026a) indicates that structured processes with clear rules support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rule evolution suggests periodic constitutional reviews to adjust quorums, proposal formats, and role definitions based on participation data. Emergency protocols should pre-define who can act under crisis conditions, with what authority, and subject to retroactive accountability. Bounded emergency power strengthens legitimacy by making deviations predictable and auditable. Internet Computer SNS DAOs demonstrate that structural tokenomic design can overcome rational apathy: locked-staking neurons with zero-fee voting sustain 64% average participation across 3,000 proposals (Okutan et al., 2025).</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 xml:space="preserve">4.3 Broader Institutional Implications</w:t>
      </w:r>
    </w:p>
    <w:p>
      <w:r>
        <w:rPr>
          <w:b w:val="0"/>
        </w:rPr>
        <w:t>The exclusion methodology generalizes beyond tokenomics. Any concentration analysis that includes ownership positions that cannot actually vote (frozen treasury positions, tokens still locked in vesting schedules, customer assets held in custody) overstates how concentrated control really is. Cooperative governance studies, public benefit corporation analyses, and regulatory sandbox audits face the same measurement problem; excluding non-voting positions would sharpen their findings. Two further applications follow. Transparency principles operationalized through the Kantian publicity lens (Section 2.9) apply to any institution claiming legitimacy through openness, where claimed transparency often masks operational opacity. And the scoring rubric (Table 1) shows that normative philosophy can be operationalized as measurement infrastructure, a methodological contribution that extends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 xml:space="preserve">4.4 Risks and Counterpoints</w:t>
      </w:r>
    </w:p>
    <w:p>
      <w:r>
        <w:rPr>
          <w:b w:val="0"/>
          <w:i w:val="0"/>
        </w:rPr>
        <w:t>Several risks deserve candid acknowledgment.</w:t>
      </w:r>
    </w:p>
    <w:p>
      <w:r>
        <w:rPr>
          <w:b/>
        </w:rPr>
        <w:t xml:space="preserve">Philosophical overreach.</w:t>
      </w:r>
      <w:r>
        <w:rPr>
          <w:b w:val="0"/>
        </w:rPr>
        <w:t xml:space="preserve">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r>
        <w:t>comparable indicators, not definitive judgments.</w:t>
      </w:r>
    </w:p>
    <w:p>
      <w:r>
        <w:rPr>
          <w:b/>
        </w:rPr>
        <w:t xml:space="preserve">Plutocratic concentration as equilibrium.</w:t>
      </w:r>
      <w:r>
        <w:rPr>
          <w:b w:val="0"/>
        </w:rPr>
        <w:t xml:space="preserve"> The governance concentration data (Table 4) may reflect a stable equilibrium rather than a design flaw: if governance power accrues to those with the most skin in the game, concentration may be the efficient outcome.</w:t>
      </w:r>
    </w:p>
    <w:p>
      <w:r>
        <w:rPr>
          <w:b/>
        </w:rPr>
        <w:t xml:space="preserve">Distribution breadth at token launch</w:t>
      </w:r>
      <w:r>
        <w:rPr>
          <w:b w:val="0"/>
        </w:rPr>
        <w:t xml:space="preserve"> is empirically uninformative about long-term governance concentration (Section 3.4). This finding, anticipated as a risk, is consistent with the cross-sectional evidence and reinforced by the Hyperliquid natural experiment (0% VC, HHI = 0.005). The practical consequence is that governance audits should focus on current holder composition rather than initial allocation documentation.</w:t>
      </w:r>
    </w:p>
    <w:p>
      <w:r>
        <w:rPr>
          <w:b/>
        </w:rPr>
        <w:t xml:space="preserve">The counterargument</w:t>
      </w:r>
      <w:r>
        <w:rPr>
          <w:b w:val="0"/>
        </w:rPr>
        <w:t xml:space="preserve">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rPr>
        <w:t xml:space="preserve">Measurement challenges.</w:t>
      </w:r>
      <w:r>
        <w:rPr>
          <w:b w:val="0"/>
        </w:rPr>
        <w:t xml:space="preserve"> The scoring rubric depends on publicly observable design features, but some legitimacy-relevant properties (backroom governance, informal influence, regulatory relationships) are not observable on-chain. We specify inter-rater reliability protocols (</w:t>
      </w:r>
      <w:hyperlink r:id="rId19" w:history="1">
        <w:r>
          <w:rPr>
            <w:color w:val="0563C1"/>
            <w:u w:val="single"/>
          </w:rPr>
          <w:t xml:space="preserve">Supplementary File S2</w:t>
        </w:r>
      </w:hyperlink>
      <w:r>
        <w:rPr>
          <w:b w:val="0"/>
        </w:rPr>
        <w:t xml:space="preserve">)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tension between centralized operational decisions and decentralized governance that Hypotheses 1 (transparency) and 2 (contestability) are designed to address.</w:t>
      </w:r>
    </w:p>
    <w:p>
      <w:r>
        <w:rPr>
          <w:b/>
        </w:rPr>
        <w:t xml:space="preserve">Speed versus legitimacy trade-off.</w:t>
      </w:r>
      <w:r>
        <w:rPr>
          <w:b w:val="0"/>
        </w:rPr>
        <w:t xml:space="preserve">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 xml:space="preserve">4.5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 (2018), de Filippi &amp; Wright (2018), and Reijers &amp; Coeckelbergh (2018) through prescriptive mechanism design grounded in political philosophy. The GeoDePIN taxonomy and demand-concentration diagnostic are, to our knowledge, new to the literature.</w:t>
      </w:r>
    </w:p>
    <w:p>
      <w:r>
        <w:rPr/>
        <w:t>Large-scale analysis of 100 DAOs is consistent with the finding that social and public-good protocols achieve significantly higher decentralization than infrastructure or investment protocols (Sharma et al., 2026), consistent with the DePIN-DeFi concentration differential documented here (Mann-Whitney p = 0.014, Cohen’s d = 1.03).</w:t>
      </w:r>
    </w:p>
    <w:p>
      <w:r>
        <w:rPr/>
        <w:t> Scholte (2026) examines the transscalar nature of polycentric digital governance, arguing that legitimacy in decentralized systems requires overlapping authorities with explicit accountability mechanisms; the scoring rubric developed here operationalizes this requirement through the Ostrom polycentricity lens (Table 1).</w:t>
      </w:r>
    </w:p>
    <w:p>
      <w:r>
        <w:rPr>
          <w:b/>
        </w:rPr>
        <w:t xml:space="preserve">Mechanism Design and Institutional Economics.</w:t>
      </w:r>
      <w:r>
        <w:rPr/>
        <w:t xml:space="preserve">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w:t>
      </w:r>
    </w:p>
    <w:p>
      <w:r>
        <w:rPr>
          <w:b/>
        </w:rPr>
        <w:t xml:space="preserve">Political Philosophy and Institutional Design.</w:t>
      </w:r>
      <w:r>
        <w:rPr/>
        <w:t xml:space="preserve"> The philosophical framework (Section 2.9)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w:t>
      </w:r>
    </w:p>
    <w:p>
      <w:r>
        <w:rPr>
          <w:b/>
        </w:rPr>
        <w:t xml:space="preserve">Blockchain Governance Scholarship.</w:t>
      </w:r>
      <w:r>
        <w:rPr/>
        <w:t xml:space="preserve">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2026a) extends the DePIN sustainability literature with longitudinal tokenomic evidence.</w:t>
      </w:r>
    </w:p>
    <w:p>
      <w:r>
        <w:rPr>
          <w:b/>
        </w:rPr>
        <w:t xml:space="preserve">Token Engineering and Cryptoeconomics.</w:t>
      </w:r>
      <w:r>
        <w:rPr/>
        <w:t xml:space="preserve">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demonstrating that interdisciplinary synthesis yields insights neither discipline produces alone.</w:t>
      </w:r>
    </w:p>
    <w:p>
      <w:pPr>
        <w:pStyle w:val="Heading2"/>
      </w:pPr>
      <w:r>
        <w:t xml:space="preserve">4.6 Summary of Findings</w:t>
      </w:r>
    </w:p>
    <w:p>
      <w:r>
        <w:rPr>
          <w:b w:val="0"/>
        </w:rPr>
        <w:t>Governance concentration in token economies is not predicted by how tokens are distributed at launch. Across 40 protocols, initial allocation design is uninformative (r = 0.18, p = 0.28): protocols with generous community distributions exhibit concentration patterns similar to those with heavy insider allocations.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significantly higher concentration than DeFi protocols (Mann-Whitney p = 0.014, d = 1.03), a pattern consistent with hardware network economics concentrating governance power among infrastructure operators.</w:t>
      </w:r>
    </w:p>
    <w:p>
      <w:r>
        <w:t>DePIN protocols vary enormously in their dependence on token subsidies, but concentration does not track subsidy in any robust specification (Section 3.4, Table 5). Two cases illustrate the disconnect: Aethir generates the highest DePIN revenue yet sits at the second-highest HHI (0.171), while Hivemapper combines a 5.46x subsidy ratio with the lowest HHI among expansion protocols (0.020). Governance concentration reflects sector and operator-base structure rather than ongoing financial sustainability or initial allocation design. The multivariate OLS in Section 3.4 (Table 6) corroborates the allocation null while documenting that sector membership predicts concentration even after controlling for protocol age, valuation, and insider allocation (adjusted R² between 0.14 and 0.17).</w:t>
      </w:r>
    </w:p>
    <w:p>
      <w:pPr>
        <w:pStyle w:val="Heading2"/>
      </w:pPr>
      <w:r>
        <w:t xml:space="preserve">4.7 Contributions</w:t>
      </w:r>
    </w:p>
    <w:p>
      <w:r>
        <w:rPr>
          <w:b w:val="0"/>
        </w:rPr>
        <w:t>The exclusion methodology identifies 69 addresses controlled by protocols themselves (staking contracts, exchange custodians, vesting locks, and treasuries) that appear on holder lists but cannot vote. Correcting for these changes affected protocols’ HHI by up to 7x. Prior studies computing token HHI without this correction measured protocol architecture, not governance concentration. This measurement contribution is the first of three. Second, sector membership is the only protocol characteristic that predicts concentration after adjusting for protocol age, valuation, and insider allocation (Mann-Whitney p = 0.014, Cohen’s d = 1.03; Table 6 Models 1-3 confirm the effect under multivariate specification). Initial allocation, maturity, subsidy structure, and token unlock progress (three float specifications, all |r| &lt; 0.05) do not predict concentration. Third, the normative framework translates five political-philosophical traditions into observable design criteria through a scoring rubric that other researchers can apply.</w:t>
      </w:r>
    </w:p>
    <w:p>
      <w:pPr>
        <w:pStyle w:val="Heading2"/>
      </w:pPr>
      <w:r>
        <w:t xml:space="preserve">4.8 Limitations</w:t>
      </w:r>
    </w:p>
    <w:p>
      <w:r>
        <w:rPr>
          <w:b w:val="0"/>
        </w:rPr>
        <w:t>The evidence carries several limitations. The governance concentration analysis is a March 2026 snapshot: </w:t>
      </w:r>
      <w:r>
        <w:t xml:space="preserve">tracking concentration over time would reveal whether protocols are becoming more or less concentrated and strengthen causal claims. A single scorer has applied the scoring rubric; inter-rater reliability testing with independent scorers is needed before the rubric can claim measurement validity beyond its current proof-of-concept status. The sample of 40 protocols (37 in Table 4 plus three protocols with partial distributional data described in Section 3.2) is sufficient for descriptive cross-sectional comparison but too small for robust multivariate regression analysis with multiple covariates; reaching the 50 to 60 protocol threshold specified in the pipeline design (</w:t>
      </w:r>
      <w:hyperlink r:id="rId22" w:history="1">
        <w:r>
          <w:rPr>
            <w:color w:val="0563C1"/>
            <w:u w:val="single"/>
          </w:rPr>
          <w:t xml:space="preserve">Supplementary File S5</w:t>
        </w:r>
      </w:hyperlink>
      <w:r>
        <w:t xml:space="preserve">) would enable the regression, panel, and event-study analyses currently specified as replication-ready designs. The sample includes only active protocols, introducing potential survivorship bias (see Section 2.10.3 for planned inclusion of stagnated projects). We have not validated the Synergy Index against outcome measures; Partial validation through case evidence is reported separately, but a full validation study is future work.</w:t>
      </w:r>
    </w:p>
    <w:p>
      <w:r>
        <w:rPr/>
        <w:t>Insider classification and tautology. The insider-concentration correlation has a mechanical component, addressed through a non-insider HHI decomposition (Section 3.4). The count-based measure survives; the balance-based measure does not. The classification methodology depends on Blockscout contract labels, which have lower coverage for Solana-native protocols; io.net’s top-10 holders are all unclassified.</w:t>
      </w:r>
    </w:p>
    <w:p>
      <w:r>
        <w:rPr/>
        <w:t>The cross-sector subsidy analysis includes one extreme observation (Livepeer, subsidy ratio 88.5x) that exerts disproportionate leverage on the Pearson correlation. While this extreme subsidy reflects genuine tokenomics rather than measurement error, the nominal Pearson significance (p = 0.011) is driven entirely by this single data point; the Spearman rank correlation shows no relationship (p = 0.60).</w:t>
      </w:r>
    </w:p>
    <w:p>
      <w:r>
        <w:rPr/>
        <w:t>The holding-based HHI captures token distribution but not the threshold mechanics of weighted voting: a holder whose share approaches the passage quota commands pivotal power disproportionate to their nominal share (Motepalli et al., 2025). HHI is additionally subject to value-validity limitations when distributions are highly asymmetric (Kvålsøth, 2022a); the Gini coefficients reported alongside HHI (Table 4) partially address this concern, and the moderate correlation between the two metrics (r = 0.51) indicates they capture distinct concentration dimensions. A companion methodological critique of HHI’s structural properties reinforces the need for multi-metric assessment in highly skewed governance distributions (Kvålsøth, 2022b). Shapley-Shubik Power Index analysis would quantify this divergence, particularly for protocols with concentrated delegation where a few delegates approach quorum thresholds; the allocation design null (Section 3.4) is robust to this concern because it tests whether initial allocation predicts post-distribution concentration, a relationship that holds under any monotonic concentration metric. Separately, ethnographic evidence documents voter turnout below 10% in major DAOs (Calzada, 2025), suggesting that effective governance concentration may exceed holding-based HHI when participation rates are low; participation-adjusted concentration metrics represent a measurement priority for future work.</w:t>
      </w:r>
    </w:p>
    <w:p>
      <w:r>
        <w:rPr/>
        <w:t>More broadly, the Synergy Index measures institutional design intent, not participant welfare. Protocols instrument token flows (burns, transfers, governance votes) but not service outcomes (coverage quality, latency, operator return-on-investment), a structural property of on-chain data architectures rather than a limitation specific to this study. Baygi, Introna, and Ostovar (2024) develop flow-oriented social justice tests for online labor platforms using Sen’s framework, measuring whether platform participation expands or constrains worker capabilities over time; DePIN operators face analogous trajectory-dependent welfare dynamics as token prices, subsidy schedules, and network demand shift, but no comparable measurement infrastructure exists for tokenized infrastructure systems. Connecting institutional design quality to participant-level welfare requires instrumentation that does not yet exist in the DePIN ecosystem; this welfare measurement gap represents the most consequential evidence frontier for future work.</w:t>
      </w:r>
    </w:p>
    <w:p>
      <w:pPr>
        <w:pStyle w:val="Heading2"/>
      </w:pPr>
      <w:r>
        <w:t xml:space="preserve">4.9 Future Research</w:t>
      </w:r>
    </w:p>
    <w:p>
      <w:r>
        <w:rPr>
          <w:b w:val="0"/>
        </w:rPr>
        <w:t xml:space="preserve">Four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w:t>
      </w:r>
      <w:hyperlink r:id="rId24" w:history="1">
        <w:r>
          <w:rPr>
            <w:color w:val="0563C1"/>
            <w:u w:val="single"/>
          </w:rPr>
          <w:t xml:space="preserve">Supplementary File S7</w:t>
        </w:r>
      </w:hyperlink>
      <w:r>
        <w:rPr>
          <w:b w:val="0"/>
        </w:rPr>
        <w:t xml:space="preserve">)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3.4.</w:t>
      </w:r>
    </w:p>
    <w:p>
      <w:r>
        <w:rPr>
          <w:b w:val="0"/>
        </w:rPr>
        <w:t>Second, sample expansion: the current cross-section of 40 protocols supports descriptive analysis; expanding the sample to 50 to 60 protocols would enable the regression, panel, and event-study analyses currently specified as replication-ready designs.</w:t>
      </w:r>
    </w:p>
    <w:p>
      <w:r>
        <w:rPr>
          <w:b w:val="0"/>
        </w:rPr>
        <w:t>Third, inter-rater reliability: recruiting independent scorers to apply the rubric to overlapping protocol subsets would test whether the philosophical lens scores are reproducible and would strengthen the measurement claim.</w:t>
      </w:r>
    </w:p>
    <w:p>
      <w:r>
        <w:rPr>
          <w:b w:val="0"/>
        </w:rPr>
        <w:t>Fourth, extending concentration measurement from holding-based HHI to coalition-based power indices (Shapley-Shubik) would quantify whether token holders’ probability of being pivotal in governance votes diverges from their nominal share. Quorum thresholds create non-linear power scaling: a holder’s pivotal probability can diverge substantially from their nominal share when quorum thresholds bind near the median of the holding distribution. The 8 protocols with Tally or Snapshot governance data in the current sample provide a natural starting point, and the delegation amplification ratios documented in Section 3.5 suggest the divergence reflects institutional design choices that vary within sector category, as the heterogeneous outcomes between Optimism and Arbitrum demonstrate. Recent game-theoretic results demonstrate that Shapley-based reward distributions achieve bounded Price of Stability (4/3) in oceanic staking models while inherently resisting Sybil stake-splitting attacks (Kiayias et al., 2025), indicating that this measurement extension is both theoretically grounded and computationally feasible for the sample sizes in the current dataset.</w:t>
      </w:r>
    </w:p>
    <w:p>
      <w:pPr>
        <w:pStyle w:val="Heading1"/>
      </w:pPr>
      <w:r>
        <w:t>Supplementary Material</w:t>
      </w:r>
    </w:p>
    <w:p>
      <w:r>
        <w:t>The following supplementary files accompany this paper:</w:t>
      </w:r>
    </w:p>
    <w:p>
      <w:hyperlink r:id="rId18" w:history="1">
        <w:r>
          <w:rPr>
            <w:color w:val="0563C1"/>
            <w:u w:val="single"/>
          </w:rPr>
          <w:t xml:space="preserve">Supplementary File S1</w:t>
        </w:r>
      </w:hyperlink>
      <w:r>
        <w:t xml:space="preserve">: Extended metric definitions, including the Synergy Index construction and inter-rater reliability specification for multi-coder deployment of the scoring rubric.</w:t>
      </w:r>
    </w:p>
    <w:p>
      <w:hyperlink r:id="rId19" w:history="1">
        <w:r>
          <w:rPr>
            <w:color w:val="0563C1"/>
            <w:u w:val="single"/>
          </w:rPr>
          <w:t xml:space="preserve">Supplementary File S2</w:t>
        </w:r>
      </w:hyperlink>
      <w:r>
        <w:t xml:space="preserve">: Research instrument templates, including the protocol codebook schema and scoring sheet template with worked examples.</w:t>
      </w:r>
    </w:p>
    <w:p>
      <w:hyperlink r:id="rId20" w:history="1">
        <w:r>
          <w:rPr>
            <w:color w:val="0563C1"/>
            <w:u w:val="single"/>
          </w:rPr>
          <w:t xml:space="preserve">Supplementary File S3</w:t>
        </w:r>
      </w:hyperlink>
      <w:r>
        <w:t xml:space="preserve">: Scoring tables (protocol × criterion matrices with evidence links) for all 12 scored protocols.</w:t>
      </w:r>
    </w:p>
    <w:p>
      <w:hyperlink r:id="rId21" w:history="1">
        <w:r>
          <w:rPr>
            <w:color w:val="0563C1"/>
            <w:u w:val="single"/>
          </w:rPr>
          <w:t xml:space="preserve">Supplementary File S4</w:t>
        </w:r>
      </w:hyperlink>
      <w:r>
        <w:t xml:space="preserve">: Events table for future event-study analyses.</w:t>
      </w:r>
    </w:p>
    <w:p>
      <w:hyperlink r:id="rId22" w:history="1">
        <w:r>
          <w:rPr>
            <w:color w:val="0563C1"/>
            <w:u w:val="single"/>
          </w:rPr>
          <w:t xml:space="preserve">Supplementary File S5</w:t>
        </w:r>
      </w:hyperlink>
      <w:r>
        <w:t xml:space="preserve">: Full empirical pipeline specification (16 analyses across five categories), including replication-ready design for cross-sectional, panel, event-study, and qualitative analyses.</w:t>
      </w:r>
    </w:p>
    <w:p>
      <w:hyperlink r:id="rId23" w:history="1">
        <w:r>
          <w:rPr>
            <w:color w:val="0563C1"/>
            <w:u w:val="single"/>
          </w:rPr>
          <w:t xml:space="preserve">Supplementary File S6</w:t>
        </w:r>
      </w:hyperlink>
      <w:r>
        <w:t xml:space="preserve">: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consistent with the subsidy-concentration null at expanded sample size.</w:t>
      </w:r>
    </w:p>
    <w:p>
      <w:r>
        <w:t xml:space="preserve">Replication data: https://github.com/Research-Publications-and-Data/Tokenomics-As-Institutional_Design</w:t>
      </w:r>
    </w:p>
    <w:p>
      <w:pPr>
        <w:pStyle w:val="Heading1"/>
      </w:pPr>
      <w:r>
        <w:t>Acknowledgments</w:t>
      </w:r>
    </w:p>
    <w:p>
      <w:r>
        <w:t>The author thanks Token Terminal for complimentary API access. DeFi protocol subsidy ratios use Token Terminal fee, revenue, and incentive data; DePIN protocol subsidy ratios use on-chain burn and mint data from Dune Analytics due to systematic measurement gaps in existing analytics platforms for hardware network economics.</w:t>
      </w:r>
    </w:p>
    <w:p>
      <w:pPr>
        <w:pStyle w:val="Heading1"/>
      </w:pPr>
      <w:r>
        <w:t>References</w:t>
      </w:r>
    </w:p>
    <w:p>
      <w:pPr>
        <w:pStyle w:val="Normal"/>
        <w:rPr/>
        <w:rPr/>
      </w:pPr>
      <w:ins w:id="1050" w:author="Zach Zukowski (R1 revision)" w:date="2026-05-10T00:00:00Z">
        <w:r>
          <w:t xml:space="preserve">Birchall, J. (2011). People-centred businesses: Co-operatives, mutuals and the idea of membership. Palgrave Macmillan.</w:t>
        </w:r>
      </w:ins>
    </w:p>
    <w:p>
      <w:pPr>
        <w:pStyle w:val="Normal"/>
        <w:rPr/>
        <w:rPr/>
      </w:pPr>
      <w:ins w:id="1051" w:author="Zach Zukowski (R1 revision)" w:date="2026-05-10T00:00:00Z">
        <w:r>
          <w:t xml:space="preserve">Hansmann, H. (1996). The ownership of enterprise. Harvard University Press.</w:t>
        </w:r>
      </w:ins>
    </w:p>
    <w:p>
      <w:pPr>
        <w:pStyle w:val="Normal"/>
        <w:rPr/>
        <w:rPr/>
      </w:pPr>
      <w:ins w:id="1052" w:author="Zach Zukowski (R1 revision)" w:date="2026-05-10T00:00:00Z">
        <w:r>
          <w:t xml:space="preserve">International Cooperative Alliance. (1995). Statement on the cooperative identity. ICA.</w:t>
        </w:r>
      </w:ins>
    </w:p>
    <w:p>
      <w:pPr>
        <w:pStyle w:val="Normal"/>
        <w:rPr/>
        <w:rPr/>
      </w:pPr>
      <w:ins w:id="1053" w:author="Zach Zukowski (R1 revision)" w:date="2026-05-10T00:00:00Z">
        <w:r>
          <w:t xml:space="preserve">Scholz, T. (2016). Platform cooperativism: Challenging the corporate sharing economy. Rosa Luxemburg Stiftung.</w:t>
        </w:r>
      </w:ins>
    </w:p>
    <w:p>
      <w:r>
        <w:t xml:space="preserve">Alshater, M. M. (2026). Decentralized physical infrastructure networks (DePIN) tokenomics. Frontiers in Blockchain, 8, 1644115. https://doi.org/10.3389/fbloc.2025.1644115</w:t>
      </w:r>
    </w:p>
    <w:p>
      <w:r>
        <w:t>Appiah, K. A. (2006). Cosmopolitanism: Ethics in a world of strangers. W. W. Norton.</w:t>
      </w:r>
    </w:p>
    <w:p>
      <w:r>
        <w:t>Appel, I., &amp; Grennan, J. (2023). Control of decentralized autonomous organizations. AEA Papers and Proceedings, 113, 182–185. https://doi.org/10.1257/pandp.20231119</w:t>
      </w:r>
    </w:p>
    <w:p>
      <w:r>
        <w:t>Aramonte, S., Huang, W., &amp; Schrimpf, A. (2021). DeFi risks and the decentralisation illusion. BIS Quarterly Review, December 2021, 21–36. https://www.bis.org/publ/qtrpdf/r_qt2112b.htm</w:t>
      </w:r>
    </w:p>
    <w:p>
      <w:r>
        <w:t>Arnosti, N., &amp; Weinberg, S. M. (2022). Bitcoin: A natural oligopoly. Management Science, 68(7), 4755–4771. https://doi.org/10.1287/mnsc.2021.4095</w:t>
      </w:r>
    </w:p>
    <w:p>
      <w:r>
        <w:t xml:space="preserve">Ballandies, M. C., Wang, H., Law, A. C. C., Yang, J. C., Gosken, C., &amp; Andrew, M. (2023). A taxonomy for blockchain-based decentralized physical infrastructure networks (DePIN). 2023 IEEE 9th World Forum on Internet of Things (WF-IoT).</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Baygi, R. M., Introna, L. D., &amp; Ostovar, M. (2024). Beyond categories: A flow-oriented approach to social justice on online labor platforms. MIS Quarterly, 48(4), 1663–1690. https://doi.org/10.25300/MISQ/2024/18253</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Buddensiek, E., &amp; Momtaz, P. P. (2025). Information cascades in decentralized autonomous organizations (DAOs). SSRN Working Paper No. 5258156. https://doi.org/10.2139/ssrn.5258156</w:t>
      </w:r>
    </w:p>
    <w:p>
      <w:r>
        <w:t>Buterin, V., Conner, E., Dudley, R., Slipper, M., &amp; Norder, I. (2019). EIP-1559: Fee market change for ETH 1.0 chain (Ethereum Improvement Proposal). https://eips.ethereum.org/EIPS/eip-1559</w:t>
      </w:r>
    </w:p>
    <w:p>
      <w:r>
        <w:t>Calzada, I. (2025). The political economy of Web3 platformization: Innovation systems, reaching the moon, governing the ghetto. Digital, 5(4), 62. https://doi.org/10.3390/digital5040062</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De Filippi, P., Mannan, M., Cossar, S., Merk, T., &amp; Kamalova, J. (2024). Blockchain technology and polycentric governance (Research Project Report). European University Institute, Robert Schuman Centre. https://hdl.handle.net/1814/77030</w:t>
      </w:r>
    </w:p>
    <w:p>
      <w:r>
        <w:t>De Filippi, P., &amp; Wright, A. (2018). Blockchain and the law: The rule of code. Harvard University Press. https://doi.org/10.4159/9780674985933</w:t>
      </w:r>
    </w:p>
    <w:p>
      <w:r>
        <w:t>DeepDAO. (2023). DAO governance analytics [Data set]. Retrieved 2023, from https://deepdao.io</w:t>
      </w:r>
    </w:p>
    <w:p>
      <w:r>
        <w:t>Dune Analytics. (2026). On-chain governance token holder data [Data set]. Retrieved March 2026, from https://dune.com</w:t>
      </w:r>
    </w:p>
    <w:p>
      <w:r>
        <w:t>Eisermann, T., Campajola, C., Tessone, C. J., &amp; Teixeira, A. S. (2025). Concentration in governance control across decentralised finance protocols. EPJ Data Science, 14, 85. https://doi.org/10.1140/epjds/s13688-025-00610-5</w:t>
      </w:r>
    </w:p>
    <w:p>
      <w:r>
        <w:t>Esposito, M., Tse, T., &amp; Goh, D. (2025). Decentralizing governance: Exploring the dynamics and challenges of digital commons and DAOs. Frontiers in Blockchain, 8, 1538227. https://doi.org/10.3389/fbloc.2025.1538227</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Hall, A. B., &amp; Miyazaki, S. (2024). What happens when anyone can be your representative? Studying the use of liquid democracy for high-stakes decisions in online platforms. Stanford GSB Working Paper. https://doi.org/10.31219/osf.io/k3hcd</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Kiayias, A., Koutsoupias, E., Markakis, E., &amp; Tsamopoulos, P. (2025). Pool formation in oceanic games: Shapley value and proportional sharing. In Proc. 7th Conference on Advances in Financial Technologies (AFT 2025), LIPIcs Vol. 354, pp. 21:1–21:24. https://doi.org/10.4230/LIPIcs.AFT.2025.21</w:t>
      </w:r>
    </w:p>
    <w:p>
      <w:r>
        <w:t>Kvålsøth, T. O. (2022a). Measurement of market (industry) concentration based on value validity. PLOS ONE, 17(2), e0264613. https://doi.org/10.1371/journal.pone.0264613</w:t>
      </w:r>
    </w:p>
    <w:p>
      <w:r>
        <w:t>Kvålsøth, T. O. (2022b). Cautionary note about the Herfindahl-Hirschman Index of market (industry) concentration. Contemporary Economics, 16(1), 51–60. https://ssrn.com/abstract=4132083</w:t>
      </w:r>
    </w:p>
    <w:p>
      <w:r>
        <w:t>Li, S., &amp; Chen, Y. (2024). Governing decentralized autonomous organizations as digital commons. Journal of Business Venturing Insights, 22, e00450. https://doi.org/10.1016/j.jbvi.2024.e00450</w:t>
      </w:r>
    </w:p>
    <w:p>
      <w:r>
        <w:t>Michels, R. (1911/1962). Political parties: A sociological study of the oligarchical tendencies of modern democracy (E. Paul &amp; C. Paul, Trans.). Free Press. (Original work published 1911)</w:t>
      </w:r>
    </w:p>
    <w:p>
      <w:r>
        <w:t>Motepalli, S., Garg, N., Zhang, G., &amp; Jacobsen, H.-A. (2025). Decentralization in PoS blockchain consensus: Quantification and advancement. arXiv:2504.14351. https://arxiv.org/abs/2504.14351</w:t>
      </w:r>
    </w:p>
    <w:p>
      <w:r>
        <w:t>Myerson, R. B. (1981). Optimal auction design. Mathematics of Operations Research, 6(1), 58–73. https://doi.org/10.1287/moor.6.1.58</w:t>
      </w:r>
    </w:p>
    <w:p>
      <w:r>
        <w:t xml:space="preserve">Nabben, K., Wang, H., &amp; Zargham, M. (2024). Decentralised governance for autonomous cyber-physical systems. arXiv preprint, arXiv:2408.16764. https://arxiv.org/abs/2408.16764</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Okutan, B. A., Schmid, S., &amp; Pignolet, Y.-A. (2025). Democracy for DAOs: An empirical study of decentralized governance and dynamics: Case study Internet Computer SNS ecosystem. In Proc. IEEE International Conference on Blockchain and Cryptocurrency (ICBC). https://doi.org/10.1109/icbc64466.2025.11114606</w:t>
      </w:r>
    </w:p>
    <w:p>
      <w:r>
        <w:t>Olson, M. (1965). The logic of collective action: Public goods and the theory of groups. Harvard University Press.</w:t>
      </w:r>
    </w:p>
    <w:p>
      <w:r>
        <w:t>Ostrom, E. (1990). Governing the commons: The evolution of institutions for collective action. Cambridge University Press.</w:t>
      </w:r>
    </w:p>
    <w:p>
      <w:r>
        <w:t xml:space="preserve">Optimism. (2024). Optimism governance documentation: Citizens’ House. https://community.optimism.io/docs/governance/</w:t>
      </w:r>
    </w:p>
    <w:p>
      <w:r>
        <w:t>Pettit, P. (1997). Republicanism: A theory of freedom and government. Oxford University Press.</w:t>
      </w:r>
    </w:p>
    <w:p>
      <w:r>
        <w:t xml:space="preserve">Pfeffer, J., &amp; Salancik, G. R. (1978). The external control of organizations: A resource dependence perspective. Harper &amp; Row.</w:t>
      </w:r>
    </w:p>
    <w:p>
      <w:r>
        <w:t>Rawls, J. (1999). A theory of justice (Rev. ed.). Belknap Press of Harvard University Press. https://doi.org/10.4159/9780674042582 (Original work published 1971.)</w:t>
      </w:r>
    </w:p>
    <w:p>
      <w:r>
        <w:t>Reijers, W., &amp; Coeckelbergh, M. (2018). The blockchain as a narrative technology: Investigating the social ontology and normative configurations of cryptocurrencies. Philosophy &amp; Technology, 31(1), 103–130. https://doi.org/10.1007/s13347-016-0239-x</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Scholte, J. A. (2026). Concluding reflections: Polycentricity and legitimacy in digital governance. Information, Communication &amp; Society. https://doi.org/10.1080/1369118X.2026.2624711</w:t>
      </w:r>
    </w:p>
    <w:p>
      <w:r>
        <w:t>Shapley, L. S. (1953). A value for n-person games. In H. W. Kuhn &amp; A. W. Tucker (Eds.), Contributions to the theory of games, Volume II (Annals of Mathematics Studies 28, pp. 307–317). Princeton University Press.</w:t>
      </w:r>
    </w:p>
    <w:p>
      <w:r>
        <w:t>Sen, A. (1999). Development as freedom. Alfred A. Knopf.</w:t>
      </w:r>
    </w:p>
    <w:p>
      <w:r>
        <w:t>Sharma, T., Potter, Y., Pongmala, K., Wang, H., Miller, A., Song, D., &amp; Wang, Y. (2026). Future of algorithmic organization: Large-scale analysis of decentralized autonomous organizations (DAOs). ACM Transactions on the Web. https://doi.org/10.1145/3796547</w:t>
      </w:r>
    </w:p>
    <w:p>
      <w:r>
        <w:t>Tchuente, G. (2025). Too big to monitor? Network scale and the breakdown of decentralized monitoring. arXiv:2511.23320. https://doi.org/10.48550/arXiv.2511.23320</w:t>
      </w:r>
    </w:p>
    <w:p>
      <w:r>
        <w:t>Van Vulpen, L., &amp; Jansen, S. (2023). Decentralized autonomous organization design for the commons and the common good. Frontiers in Blockchain, 6, 1257313. https://doi.org/10.3389/fbloc.2023.1257313</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Werbach, K. (2018). The blockchain and the new architecture of trust. MIT Press. https://doi.org/10.7551/mitpress/11449.001.0001</w:t>
      </w:r>
    </w:p>
    <w:p>
      <w:r>
        <w:t>Werner, S. M., Perez, D., Gudgeon, L., Klages-Mundt, A., Harz, D., &amp; Knottenbelt, W. J. (2022). SoK: Decentralized finance (DeFi). In Proceedings of the 4th ACM Conference on Advances in Financial Technologies (pp. 30–46). ACM. https://doi.org/10.1145/3558535.3559780</w:t>
      </w:r>
    </w:p>
    <w:p>
      <w:r>
        <w:t>Williamson, O. E. (1999). Public and private bureaucracies: A transaction cost economics perspective. Journal of Law, Economics, and Organization, 15(1), 306–342.</w:t>
      </w:r>
    </w:p>
    <w:p>
      <w:r>
        <w:t>Yanaka, H., &amp; Heeks, R. (2023). Analysing the development impact of the gig economy using Sen’s capability approach (Digital Development Working Paper No. 101). University of Manchester. https://hummedia.manchester.ac.uk/institutes/gdi/publications/workingpapers/di/dd_wp101.pdf</w:t>
      </w:r>
    </w:p>
    <w:p>
      <w:r>
        <w:t>Zukowski, Z. (2026a). Who burns the tokens? Fiscal sustainability and demand concentration in GeoDePIN networks.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Seven Dollars: Legal Structure, Operator Risk, and Diligence Divergence Across Dollar-Denominated Digital Products. SSRN Working Paper [forthcoming].</w:t>
      </w:r>
    </w:p>
    <w:p>
      <w:r>
        <w:t>Zukowski, Z. (2026b). Adaptive Tokenomics: A Systems Engineering Approach to Programmable Incentive Design.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 Id="rId16" Type="http://schemas.openxmlformats.org/officeDocument/2006/relationships/image" Target="media/exhibit_sector_comparison.png"/><Relationship Id="rId17" Type="http://schemas.openxmlformats.org/officeDocument/2006/relationships/image" Target="media/exhibit_subsidy_vs_hhi.png"/><Relationship Id="rId18" Type="http://schemas.openxmlformats.org/officeDocument/2006/relationships/hyperlink" Target="https://github.com/Research-Publications-and-Data/Tokenomics-As-Institutional_Design/blob/main/b2/paper/supplements/S1_metric_definitions.md" TargetMode="External"/><Relationship Id="rId19" Type="http://schemas.openxmlformats.org/officeDocument/2006/relationships/hyperlink" Target="https://github.com/Research-Publications-and-Data/Tokenomics-As-Institutional_Design/blob/main/b2/paper/supplements/S2_scoring_rubric.md" TargetMode="External"/><Relationship Id="rId20" Type="http://schemas.openxmlformats.org/officeDocument/2006/relationships/hyperlink" Target="https://github.com/Research-Publications-and-Data/Tokenomics-As-Institutional_Design/blob/main/b2/paper/supplements/S3_scoring_tables.md" TargetMode="External"/><Relationship Id="rId21" Type="http://schemas.openxmlformats.org/officeDocument/2006/relationships/hyperlink" Target="https://github.com/Research-Publications-and-Data/Tokenomics-As-Institutional_Design/blob/main/b2/paper/supplements/S4_events_table.md" TargetMode="External"/><Relationship Id="rId22" Type="http://schemas.openxmlformats.org/officeDocument/2006/relationships/hyperlink" Target="https://github.com/Research-Publications-and-Data/Tokenomics-As-Institutional_Design/blob/main/b2/paper/supplements/S5_pipeline_specification.md" TargetMode="External"/><Relationship Id="rId23" Type="http://schemas.openxmlformats.org/officeDocument/2006/relationships/hyperlink" Target="https://github.com/Research-Publications-and-Data/Tokenomics-As-Institutional_Design/blob/main/b2/paper/supplements/S6_revenue_standardization.md" TargetMode="External"/><Relationship Id="rId24" Type="http://schemas.openxmlformats.org/officeDocument/2006/relationships/hyperlink" Target="https://github.com/Research-Publications-and-Data/Tokenomics-As-Institutional_Design/tree/main/b2/paper/supplements/S7_hhi_panel" TargetMode="External"/><Relationship Id="rId25" Type="http://schemas.openxmlformats.org/officeDocument/2006/relationships/hyperlink" Target="https://github.com/Research-Publications-and-Data/Tokenomics-As-Institutional_Design/blob/main/b2/paper/supplements/S8_tt_expans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