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r>
        <w:t>Initial token allocation design does not predict governance concentration. A 40-protocol cross-section spanning Decentralized Physical Infrastructure Networks (DePIN), DeFi, infrastructure, and social token categories documents that team and investor allocation at launch is uninformative about post-distribution governance concentration (Pearson r = 0.18, p = 0.28, N = 37): protocols with generous community distributions exhibit concentration patterns similar to those with heavy insider allocations. Hyperliquid (zero venture capital, 31% community airdrop) shows the lowest DeFi-subsample Herfindahl-Hirschman Index (HHI) of 0.005, but the broader null holds across allocation designs. Evidence is consistent with post-distribution market dynamics shaping concentration more than initial structural design.</w:t>
      </w:r>
    </w:p>
    <w:p>
      <w:r>
        <w:t>Four supporting findings sharpen the picture. First, protocols with more insider wallets in their top-holder sets exhibit higher concentration among non-insider holders (Spearman rho = 0.54, p = 0.001, N = 34): insider-heavy protocols develop concentrated governance ecosystems, not merely concentrated insider positions. Second, sector membership predicts concentration: DePIN exceeds DeFi (Mann-Whitney p = 0.014, Cohen’s d = 1.03), and the effect survives across three nested OLS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yields r = 0.11, p = 0.65. Fourth, delegation amplifies concentration unevenly: voting-power HHI reaches 3 to 6 times holding HHI in DePIN, while two infrastructure protocols diverge (Optimism 0.79x, Arbitrum 4.3x); operator and router design shape outcomes beyond sector classification alone.</w:t>
      </w:r>
    </w:p>
    <w:p>
      <w:r>
        <w:t>A measurement distinction underlies these findings. Token inequality (Gini, dispersion across all holders) and governance concentration (HHI, sum of squared top-holder shares) capture distinct properties of the same holder set. Inequality is severe in every protocol (Gini 0.52 to 0.99), while concentration varies across two orders of magnitude (HHI 0.005 to 0.199); the moderate correlation (r = 0.51) confirms that inequality metrics cannot substitute for direct concentration measurement.</w:t>
      </w:r>
    </w:p>
    <w:p>
      <w:pPr>
        <w:spacing w:before="240"/>
      </w:pPr>
      <w:r>
        <w:rPr>
          <w:b/>
        </w:rPr>
        <w:t xml:space="preserve">JEL Codes: </w:t>
      </w:r>
      <w:r>
        <w:rPr/>
        <w:t>C21, D02, D47, D63, D71, D72, G34, L22, P48</w:t>
      </w:r>
    </w:p>
    <w:p>
      <w:pPr>
        <w:spacing w:before="240"/>
      </w:pPr>
      <w:r>
        <w:rPr>
          <w:b/>
        </w:rPr>
        <w:t>Keywords: tokenomics, institutional design, governance concentration, DAO governance, DePIN, delegation amplification, Herfindahl-Hirschman Index, political philosophy of institutions,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rPr/>
        <w:rPr/>
      </w:pPr>
      <w:ins w:id="1040" w:author="Zach Zukowski (R1 revision)" w:date="2026-05-10T00:00:00Z">
        <w:r>
          <w:t xml:space="preserve">2.4.1 Cooperatives as the Nearest Institutional Ancestor</w:t>
        </w:r>
      </w:ins>
    </w:p>
    <w:p>
      <w:pPr>
        <w:pStyle w:val="Normal"/>
        <w:rPr/>
        <w:rPr/>
      </w:pPr>
      <w:ins w:id="1041" w:author="Zach Zukowski (R1 revision)" w:date="2026-05-10T00:00:00Z">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ins>
    </w:p>
    <w:p>
      <w:pPr>
        <w:pStyle w:val="Normal"/>
        <w:rPr/>
        <w:rPr/>
      </w:pPr>
      <w:ins w:id="1042" w:author="Zach Zukowski (R1 revision)" w:date="2026-05-10T00:00:00Z">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ins>
    </w:p>
    <w:p>
      <w:pPr>
        <w:pStyle w:val="Normal"/>
        <w:rPr/>
        <w:rPr/>
      </w:pPr>
      <w:ins w:id="1043" w:author="Zach Zukowski (R1 revision)" w:date="2026-05-10T00:00:00Z">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ins>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ins w:id="1054" w:author="Zach Zukowski (R1 revision)" w:date="2026-05-10T00:00:00Z">
        <w:r>
          <w:rPr>
            <w:color w:val="0070C0"/>
          </w:rPr>
          <w:t xml:space="preserve"> Reading the figure: the arrows trace the design pipeline from philosophical commitments through measurable outcomes; each lens in the rubric is a constraint on permissible designs at the corresponding stage.</w:t>
        </w:r>
      </w:ins>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w:t>
      </w:r>
      <w:ins w:id="1055" w:author="Zach Zukowski (R1 revision)" w:date="2026-05-10T00:00:00Z">
        <w:r>
          <w:rPr>
            <w:color w:val="0070C0"/>
          </w:rPr>
          <w:t xml:space="preserve"> Reading the figure: each axis represents a separate philosophical lens; protocols satisfying multiple lenses occupy upper-right regions.</w:t>
        </w:r>
      </w:ins>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rPr/>
        <w:rPr/>
      </w:pPr>
      <w:ins w:id="1045" w:author="Zach Zukowski (R1 revision)" w:date="2026-05-10T00:00:00Z">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ins>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w:t>
      </w:r>
      <w:ins w:id="1056" w:author="Zach Zukowski (R1 revision)" w:date="2026-05-10T00:00:00Z">
        <w:r>
          <w:rPr>
            <w:color w:val="0070C0"/>
          </w:rPr>
          <w:t xml:space="preserve"> Reading the figure: bars show pre-exclusion HHI; the post-exclusion overlay indicates how much measured concentration was protocol-controlled rather than governance-relevant.</w:t>
        </w:r>
      </w:ins>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rPr/>
        <w:rPr/>
      </w:pPr>
      <w:ins w:id="1044" w:author="Zach Zukowski (R1 revision)" w:date="2026-05-10T00:00:00Z">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section 4.8 limitations.</w:t>
        </w:r>
      </w:ins>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rPr/>
        <w:rPr/>
      </w:pPr>
      <w:ins w:id="1046" w:author="Zach Zukowski (R1 revision)" w:date="2026-05-10T00:00:00Z">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ins>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pPr/>
            <w:del w:id="1029" w:author="Zach Zukowski (R1 revision)" w:date="2026-05-10T00:00:00Z">
              <w:r>
                <w:rPr>
                  <w:strike w:val="true"/>
                  <w:color w:val="C00000"/>
                </w:rPr>
                <w:delText xml:space="preserve">47.6%</w:delText>
              </w:r>
            </w:del>
            <w:ins w:id="1030" w:author="Zach Zukowski (R1 revision)" w:date="2026-05-10T00:00:00Z">
              <w:r>
                <w:rPr>
                  <w:color w:val="0070C0"/>
                </w:rPr>
                <w:t xml:space="preserve">34.9%¶</w:t>
              </w:r>
            </w:ins>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pPr/>
            <w:del w:id="1027" w:author="Zach Zukowski (R1 revision)" w:date="2026-05-10T00:00:00Z">
              <w:r>
                <w:rPr>
                  <w:strike w:val="true"/>
                  <w:color w:val="C00000"/>
                </w:rPr>
                <w:delText xml:space="preserve">0.032</w:delText>
              </w:r>
            </w:del>
            <w:ins w:id="1028" w:author="Zach Zukowski (R1 revision)" w:date="2026-05-10T00:00:00Z">
              <w:r>
                <w:rPr>
                  <w:color w:val="0070C0"/>
                </w:rPr>
                <w:t xml:space="preserve">0.010¶</w:t>
              </w:r>
            </w:ins>
          </w:p>
        </w:tc>
        <w:tc>
          <w:tcPr>
            <w:tcW w:type="dxa" w:w="960"/>
          </w:tcPr>
          <w:p>
            <w:r>
              <w:rPr>
                <w:sz w:val="18"/>
              </w:rPr>
              <w:t>0.89</w:t>
            </w:r>
          </w:p>
        </w:tc>
        <w:tc>
          <w:tcPr>
            <w:tcW w:type="dxa" w:w="960"/>
          </w:tcPr>
          <w:p>
            <w:r>
              <w:rPr>
                <w:sz w:val="18"/>
              </w:rPr>
              <w:t>4.2%¶</w:t>
            </w:r>
          </w:p>
        </w:tc>
        <w:tc>
          <w:tcPr>
            <w:tcW w:type="dxa" w:w="1080"/>
          </w:tcPr>
          <w:p>
            <w:pPr/>
            <w:del w:id="1031" w:author="Zach Zukowski (R1 revision)" w:date="2026-05-10T00:00:00Z">
              <w:r>
                <w:rPr>
                  <w:strike w:val="true"/>
                  <w:color w:val="C00000"/>
                </w:rPr>
                <w:delText xml:space="preserve">52.1%</w:delText>
              </w:r>
            </w:del>
            <w:ins w:id="1032" w:author="Zach Zukowski (R1 revision)" w:date="2026-05-10T00:00:00Z">
              <w:r>
                <w:rPr>
                  <w:color w:val="0070C0"/>
                </w:rPr>
                <w:t xml:space="preserve">22.9%¶</w:t>
              </w:r>
            </w:ins>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pPr/>
            <w:del w:id="1025" w:author="Zach Zukowski (R1 revision)" w:date="2026-05-10T00:00:00Z">
              <w:r>
                <w:rPr>
                  <w:strike w:val="true"/>
                  <w:color w:val="C00000"/>
                </w:rPr>
                <w:delText xml:space="preserve">0.1706</w:delText>
              </w:r>
            </w:del>
            <w:ins w:id="1026" w:author="Zach Zukowski (R1 revision)" w:date="2026-05-10T00:00:00Z">
              <w:r>
                <w:rPr>
                  <w:color w:val="0070C0"/>
                </w:rPr>
                <w:t xml:space="preserve">0.017¶</w:t>
              </w:r>
            </w:ins>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pPr/>
            <w:del w:id="1033" w:author="Zach Zukowski (R1 revision)" w:date="2026-05-10T00:00:00Z">
              <w:r>
                <w:rPr>
                  <w:strike w:val="true"/>
                  <w:color w:val="C00000"/>
                </w:rPr>
                <w:delText xml:space="preserve">47.2%</w:delText>
              </w:r>
            </w:del>
            <w:ins w:id="1034" w:author="Zach Zukowski (R1 revision)" w:date="2026-05-10T00:00:00Z">
              <w:r>
                <w:rPr>
                  <w:color w:val="0070C0"/>
                </w:rPr>
                <w:t xml:space="preserve">22.4%¶</w:t>
              </w:r>
            </w:ins>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pPr/>
            <w:del w:id="1035" w:author="Zach Zukowski (R1 revision)" w:date="2026-05-10T00:00:00Z">
              <w:r>
                <w:rPr>
                  <w:strike w:val="true"/>
                  <w:color w:val="C00000"/>
                </w:rPr>
                <w:delText xml:space="preserve">59.7%</w:delText>
              </w:r>
            </w:del>
            <w:ins w:id="1036" w:author="Zach Zukowski (R1 revision)" w:date="2026-05-10T00:00:00Z">
              <w:r>
                <w:rPr>
                  <w:color w:val="0070C0"/>
                </w:rPr>
                <w:t xml:space="preserve">40.2%¶</w:t>
              </w:r>
            </w:ins>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pPr/>
            <w:del w:id="1037" w:author="Zach Zukowski (R1 revision)" w:date="2026-05-10T00:00:00Z">
              <w:r>
                <w:rPr>
                  <w:strike w:val="true"/>
                  <w:color w:val="C00000"/>
                </w:rPr>
                <w:delText xml:space="preserve">60.8%</w:delText>
              </w:r>
            </w:del>
            <w:ins w:id="1038" w:author="Zach Zukowski (R1 revision)" w:date="2026-05-10T00:00:00Z">
              <w:r>
                <w:rPr>
                  <w:color w:val="0070C0"/>
                </w:rPr>
                <w:t xml:space="preserve">29.6%¶</w:t>
              </w:r>
            </w:ins>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rPr/>
        <w:rPr/>
      </w:pPr>
      <w:ins w:id="1048" w:author="Zach Zukowski (R1 revision)" w:date="2026-05-10T00:00:00Z">
        <w:r>
          <w:t xml:space="preserve">Table 4 footnotes:</w:t>
        </w:r>
      </w:ins>
    </w:p>
    <w:p>
      <w:pPr>
        <w:pStyle w:val="Normal"/>
        <w:rPr/>
        <w:rPr/>
      </w:pPr>
      <w:ins w:id="1048" w:author="Zach Zukowski (R1 revision)" w:date="2026-05-10T00:00:00Z">
        <w:r>
          <w:t xml:space="preserve">† = futarchy governance (MetaDAO).</w:t>
        </w:r>
      </w:ins>
    </w:p>
    <w:p>
      <w:pPr>
        <w:pStyle w:val="Normal"/>
        <w:rPr/>
        <w:rPr/>
      </w:pPr>
      <w:ins w:id="1048" w:author="Zach Zukowski (R1 revision)" w:date="2026-05-10T00:00:00Z">
        <w:r>
          <w:t xml:space="preserve">‡ (in protocol name column) = survivorship-bias control (TEC, Gitcoin).</w:t>
        </w:r>
      </w:ins>
    </w:p>
    <w:p>
      <w:pPr>
        <w:pStyle w:val="Normal"/>
        <w:rPr/>
        <w:rPr/>
      </w:pPr>
      <w:ins w:id="1048" w:author="Zach Zukowski (R1 revision)" w:date="2026-05-10T00:00:00Z">
        <w:r>
          <w:t xml:space="preserve">¶ (added in R1 revision) = updated post-exclusion value: HHI for Curve reflects raw CRV holdings (veCRV-weighted concentration is approximately 0.171 due to lock-duration multipliers); HHI for Uniswap reflects post-burn-rule exclusion of 0x000...dead (102.46M UNI, 11.27% of supply); Top-1% and Top-10% columns report post-exclusion shares for marked rows (AAVE, UNI, ARB, GRT, OP) per R1 reviewer methodological consistency request.</w:t>
        </w:r>
      </w:ins>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w:t>
      </w:r>
      <w:ins w:id="1057" w:author="Zach Zukowski (R1 revision)" w:date="2026-05-10T00:00:00Z">
        <w:r>
          <w:rPr>
            <w:color w:val="0070C0"/>
          </w:rPr>
          <w:t xml:space="preserve"> Reading the figure: box plots show concentration distribution within each sector; the DePIN-DeFi gap is visible in median position despite tail overlap.</w:t>
        </w:r>
      </w:ins>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rPr/>
        <w:rPr/>
      </w:pPr>
      <w:ins w:id="1039" w:author="Zach Zukowski (R1 revision)" w:date="2026-05-10T00:00:00Z">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ins>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pPr/>
            <w:del w:id="1001" w:author="Zach Zukowski (R1 revision)" w:date="2026-05-10T00:00:00Z">
              <w:r>
                <w:rPr>
                  <w:strike w:val="true"/>
                  <w:color w:val="C00000"/>
                </w:rPr>
                <w:delText xml:space="preserve">−0.13</w:delText>
              </w:r>
            </w:del>
            <w:ins w:id="1002" w:author="Zach Zukowski (R1 revision)" w:date="2026-05-10T00:00:00Z">
              <w:r>
                <w:rPr>
                  <w:color w:val="0070C0"/>
                </w:rPr>
                <w:t xml:space="preserve">0.20</w:t>
              </w:r>
            </w:ins>
          </w:p>
        </w:tc>
        <w:tc>
          <w:tcPr>
            <w:tcW w:type="dxa" w:w="1000"/>
          </w:tcPr>
          <w:p>
            <w:pPr/>
            <w:del w:id="1003" w:author="Zach Zukowski (R1 revision)" w:date="2026-05-10T00:00:00Z">
              <w:r>
                <w:rPr>
                  <w:strike w:val="true"/>
                  <w:color w:val="C00000"/>
                </w:rPr>
                <w:delText xml:space="preserve">0.46</w:delText>
              </w:r>
            </w:del>
            <w:ins w:id="1004" w:author="Zach Zukowski (R1 revision)" w:date="2026-05-10T00:00:00Z">
              <w:r>
                <w:rPr>
                  <w:color w:val="0070C0"/>
                </w:rPr>
                <w:t xml:space="preserve">0.224</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pPr/>
            <w:del w:id="1005" w:author="Zach Zukowski (R1 revision)" w:date="2026-05-10T00:00:00Z">
              <w:r>
                <w:rPr>
                  <w:strike w:val="true"/>
                  <w:color w:val="C00000"/>
                </w:rPr>
                <w:delText xml:space="preserve">+0.26</w:delText>
              </w:r>
            </w:del>
            <w:ins w:id="1006" w:author="Zach Zukowski (R1 revision)" w:date="2026-05-10T00:00:00Z">
              <w:r>
                <w:rPr>
                  <w:color w:val="0070C0"/>
                </w:rPr>
                <w:t xml:space="preserve">0.09</w:t>
              </w:r>
            </w:ins>
          </w:p>
        </w:tc>
        <w:tc>
          <w:tcPr>
            <w:tcW w:type="dxa" w:w="1000"/>
          </w:tcPr>
          <w:p>
            <w:pPr/>
            <w:del w:id="1007" w:author="Zach Zukowski (R1 revision)" w:date="2026-05-10T00:00:00Z">
              <w:r>
                <w:rPr>
                  <w:strike w:val="true"/>
                  <w:color w:val="C00000"/>
                </w:rPr>
                <w:delText xml:space="preserve">0.14</w:delText>
              </w:r>
            </w:del>
            <w:ins w:id="1008" w:author="Zach Zukowski (R1 revision)" w:date="2026-05-10T00:00:00Z">
              <w:r>
                <w:rPr>
                  <w:color w:val="0070C0"/>
                </w:rPr>
                <w:t xml:space="preserve">0.596</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pPr/>
            <w:del w:id="1009" w:author="Zach Zukowski (R1 revision)" w:date="2026-05-10T00:00:00Z">
              <w:r>
                <w:rPr>
                  <w:strike w:val="true"/>
                  <w:color w:val="C00000"/>
                </w:rPr>
                <w:delText xml:space="preserve">+0.12</w:delText>
              </w:r>
            </w:del>
            <w:ins w:id="1010" w:author="Zach Zukowski (R1 revision)" w:date="2026-05-10T00:00:00Z">
              <w:r>
                <w:rPr>
                  <w:color w:val="0070C0"/>
                </w:rPr>
                <w:t xml:space="preserve">0.01</w:t>
              </w:r>
            </w:ins>
          </w:p>
        </w:tc>
        <w:tc>
          <w:tcPr>
            <w:tcW w:type="dxa" w:w="1000"/>
          </w:tcPr>
          <w:p>
            <w:pPr/>
            <w:del w:id="1011" w:author="Zach Zukowski (R1 revision)" w:date="2026-05-10T00:00:00Z">
              <w:r>
                <w:rPr>
                  <w:strike w:val="true"/>
                  <w:color w:val="C00000"/>
                </w:rPr>
                <w:delText xml:space="preserve">0.51</w:delText>
              </w:r>
            </w:del>
            <w:ins w:id="1012" w:author="Zach Zukowski (R1 revision)" w:date="2026-05-10T00:00:00Z">
              <w:r>
                <w:rPr>
                  <w:color w:val="0070C0"/>
                </w:rPr>
                <w:t xml:space="preserve">0.957</w:t>
              </w:r>
            </w:ins>
          </w:p>
        </w:tc>
        <w:tc>
          <w:tcPr>
            <w:tcW w:type="dxa" w:w="540"/>
          </w:tcPr>
          <w:p>
            <w:pPr/>
            <w:del w:id="1013" w:author="Zach Zukowski (R1 revision)" w:date="2026-05-10T00:00:00Z">
              <w:r>
                <w:rPr>
                  <w:strike w:val="true"/>
                  <w:color w:val="C00000"/>
                </w:rPr>
                <w:delText xml:space="preserve">37</w:delText>
              </w:r>
            </w:del>
            <w:ins w:id="1014" w:author="Zach Zukowski (R1 revision)" w:date="2026-05-10T00:00:00Z">
              <w:r>
                <w:rPr>
                  <w:color w:val="0070C0"/>
                </w:rPr>
                <w:t xml:space="preserve">40</w:t>
              </w:r>
            </w:ins>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pPr/>
            <w:del w:id="1015" w:author="Zach Zukowski (R1 revision)" w:date="2026-05-10T00:00:00Z">
              <w:r>
                <w:rPr>
                  <w:strike w:val="true"/>
                  <w:color w:val="C00000"/>
                </w:rPr>
                <w:delText xml:space="preserve">0.007</w:delText>
              </w:r>
            </w:del>
            <w:ins w:id="1016" w:author="Zach Zukowski (R1 revision)" w:date="2026-05-10T00:00:00Z">
              <w:r>
                <w:rPr>
                  <w:color w:val="0070C0"/>
                </w:rPr>
                <w:t xml:space="preserve">0.008</w:t>
              </w:r>
            </w:ins>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pPr/>
            <w:del w:id="1017" w:author="Zach Zukowski (R1 revision)" w:date="2026-05-10T00:00:00Z">
              <w:r>
                <w:rPr>
                  <w:strike w:val="true"/>
                  <w:color w:val="C00000"/>
                </w:rPr>
                <w:delText xml:space="preserve">+0.13</w:delText>
              </w:r>
            </w:del>
            <w:ins w:id="1018" w:author="Zach Zukowski (R1 revision)" w:date="2026-05-10T00:00:00Z">
              <w:r>
                <w:rPr>
                  <w:color w:val="0070C0"/>
                </w:rPr>
                <w:t xml:space="preserve">0.12</w:t>
              </w:r>
            </w:ins>
          </w:p>
        </w:tc>
        <w:tc>
          <w:tcPr>
            <w:tcW w:type="dxa" w:w="1000"/>
          </w:tcPr>
          <w:p>
            <w:pPr/>
            <w:del w:id="1019" w:author="Zach Zukowski (R1 revision)" w:date="2026-05-10T00:00:00Z">
              <w:r>
                <w:rPr>
                  <w:strike w:val="true"/>
                  <w:color w:val="C00000"/>
                </w:rPr>
                <w:delText xml:space="preserve">0.37</w:delText>
              </w:r>
            </w:del>
            <w:ins w:id="1020" w:author="Zach Zukowski (R1 revision)" w:date="2026-05-10T00:00:00Z">
              <w:r>
                <w:rPr>
                  <w:color w:val="0070C0"/>
                </w:rPr>
                <w:t xml:space="preserve">0.633</w:t>
              </w:r>
            </w:ins>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w:t>
      </w:r>
      <w:ins w:id="1058" w:author="Zach Zukowski (R1 revision)" w:date="2026-05-10T00:00:00Z">
        <w:r>
          <w:rPr>
            <w:color w:val="0070C0"/>
          </w:rPr>
          <w:t xml:space="preserve"> Reading the figure: the absence of a downward slope is the finding; if insider allocation drove concentration we would expect a positive slope.</w:t>
        </w:r>
      </w:ins>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0.168,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0.48),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w:t>
      </w:r>
      <w:ins w:id="1059" w:author="Zach Zukowski (R1 revision)" w:date="2026-05-10T00:00:00Z">
        <w:r>
          <w:rPr>
            <w:color w:val="0070C0"/>
          </w:rPr>
          <w:t xml:space="preserve"> Reading the figure: protocols above the diagonal have voting more concentrated than holding (delegation amplifies); below the diagonal indicates the opposite.</w:t>
        </w:r>
      </w:ins>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pPr/>
            <w:del w:id="1021" w:author="Zach Zukowski (R1 revision)" w:date="2026-05-10T00:00:00Z">
              <w:r>
                <w:rPr>
                  <w:strike w:val="true"/>
                  <w:color w:val="C00000"/>
                </w:rPr>
                <w:delText xml:space="preserve">Tally</w:delText>
              </w:r>
            </w:del>
            <w:ins w:id="1022" w:author="Zach Zukowski (R1 revision)" w:date="2026-05-10T00:00:00Z">
              <w:r>
                <w:rPr>
                  <w:color w:val="0070C0"/>
                </w:rPr>
                <w:t xml:space="preserve">Snapshot†</w:t>
              </w:r>
            </w:ins>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pPr/>
            <w:del w:id="1023" w:author="Zach Zukowski (R1 revision)" w:date="2026-05-10T00:00:00Z">
              <w:r>
                <w:rPr>
                  <w:strike w:val="true"/>
                  <w:color w:val="C00000"/>
                </w:rPr>
                <w:delText xml:space="preserve">Tally</w:delText>
              </w:r>
            </w:del>
            <w:ins w:id="1024" w:author="Zach Zukowski (R1 revision)" w:date="2026-05-10T00:00:00Z">
              <w:r>
                <w:rPr>
                  <w:color w:val="0070C0"/>
                </w:rPr>
                <w:t xml:space="preserve">Snapshot†</w:t>
              </w:r>
            </w:ins>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rPr/>
        <w:rPr/>
      </w:pPr>
      <w:ins w:id="1049" w:author="Zach Zukowski (R1 revision)" w:date="2026-05-10T00:00:00Z">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ins>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rPr/>
        <w:rPr/>
      </w:pPr>
      <w:ins w:id="1047" w:author="Zach Zukowski (R1 revision)" w:date="2026-05-10T00:00:00Z">
        <w:r>
          <w:t xml:space="preserve">Per Reviewer 1 and Reviewer 2 guidance: 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ins>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0.48, p = 0.003, N = 37 after the F1 holder-list correction)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w:t>
      </w:r>
      <w:ins w:id="1060" w:author="Zach Zukowski (R1 revision)" w:date="2026-05-10T00:00:00Z">
        <w:r>
          <w:rPr>
            <w:color w:val="0070C0"/>
          </w:rPr>
          <w:t xml:space="preserve"> Reading the figure: the cross-sector association weakens substantially when Livepeer is excluded, indicating the headline subsidy result is sensitive to a single high-leverage protocol.</w:t>
        </w:r>
      </w:ins>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w:t>
      </w:r>
      <w:ins w:id="1061" w:author="Zach Zukowski (R1 revision)" w:date="2026-05-10T00:00:00Z">
        <w:r>
          <w:rPr>
            <w:color w:val="0070C0"/>
          </w:rPr>
          <w:t xml:space="preserve"> Reading the figure: the slope is approximately flat, indicating voter participation does not predict concentration in this 13-protocol sample.</w:t>
        </w:r>
      </w:ins>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rPr/>
        <w:rPr/>
      </w:pPr>
      <w:ins w:id="1050" w:author="Zach Zukowski (R1 revision)" w:date="2026-05-10T00:00:00Z">
        <w:r>
          <w:t xml:space="preserve">Birchall, J. (2011). People-centred businesses: Co-operatives, mutuals and the idea of membership. Palgrave Macmillan.</w:t>
        </w:r>
      </w:ins>
    </w:p>
    <w:p>
      <w:pPr>
        <w:pStyle w:val="Normal"/>
        <w:rPr/>
        <w:rPr/>
      </w:pPr>
      <w:ins w:id="1051" w:author="Zach Zukowski (R1 revision)" w:date="2026-05-10T00:00:00Z">
        <w:r>
          <w:t xml:space="preserve">Hansmann, H. (1996). The ownership of enterprise. Harvard University Press.</w:t>
        </w:r>
      </w:ins>
    </w:p>
    <w:p>
      <w:pPr>
        <w:pStyle w:val="Normal"/>
        <w:rPr/>
        <w:rPr/>
      </w:pPr>
      <w:ins w:id="1052" w:author="Zach Zukowski (R1 revision)" w:date="2026-05-10T00:00:00Z">
        <w:r>
          <w:t xml:space="preserve">International Cooperative Alliance. (1995). Statement on the cooperative identity. ICA.</w:t>
        </w:r>
      </w:ins>
    </w:p>
    <w:p>
      <w:pPr>
        <w:pStyle w:val="Normal"/>
        <w:rPr/>
        <w:rPr/>
      </w:pPr>
      <w:ins w:id="1053" w:author="Zach Zukowski (R1 revision)" w:date="2026-05-10T00:00:00Z">
        <w:r>
          <w:t xml:space="preserve">Scholz, T. (2016). Platform cooperativism: Challenging the corporate sharing economy. Rosa Luxemburg Stiftung.</w:t>
        </w:r>
      </w:ins>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