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 = 0.17, p = 0.32, N = 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 = 0.016, Cohen’s d</w:t>
      </w:r>
      <w:r>
        <w:t xml:space="preserve"> </w:t>
      </w:r>
      <w:r>
        <w:t xml:space="preserve">= 1.03,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conventional threshold at p = 0.060;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 = 0.57, p = 0.008, N = 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yields r = 0.11, p =</w:t>
      </w:r>
      <w:r>
        <w:t xml:space="preserve"> </w:t>
      </w:r>
      <w:r>
        <w:t xml:space="preserve">0.65.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 = 0.51)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2019; an</w:t>
      </w:r>
      <w:r>
        <w:t xml:space="preserve"> </w:t>
      </w:r>
      <w:r>
        <w:t xml:space="preserve">Ethereum Improvement Proposal is a community-authored specification</w:t>
      </w:r>
      <w:r>
        <w:t xml:space="preserve"> </w:t>
      </w:r>
      <w:r>
        <w:t xml:space="preserve">document defining a protocol change for Ethereum, analogous to a</w:t>
      </w:r>
      <w:r>
        <w:t xml:space="preserve"> </w:t>
      </w:r>
      <w:r>
        <w:t xml:space="preserve">constitutional amendment for the system’s economic rules),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(a</w:t>
      </w:r>
      <w:r>
        <w:t xml:space="preserve"> </w:t>
      </w:r>
      <w:r>
        <w:t xml:space="preserve">mechanism that permanently removes tokens from circulation, reducing</w:t>
      </w:r>
      <w:r>
        <w:t xml:space="preserve"> </w:t>
      </w:r>
      <w:r>
        <w:t xml:space="preserve">supply and tying the token’s value to system usage) linked to usage</w:t>
      </w:r>
      <w:r>
        <w:t xml:space="preserve"> </w:t>
      </w:r>
      <w:r>
        <w:t xml:space="preserve">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performance; SLA stands for</w:t>
      </w:r>
      <w:r>
        <w:t xml:space="preserve"> </w:t>
      </w:r>
      <w:r>
        <w:t xml:space="preserve">service-level agreement, a contractually-specified threshold for</w:t>
      </w:r>
      <w:r>
        <w:t xml:space="preserve"> </w:t>
      </w:r>
      <w:r>
        <w:t xml:space="preserve">network uptime, latency, or coverage that operators must meet to</w:t>
      </w:r>
      <w:r>
        <w:t xml:space="preserve"> </w:t>
      </w:r>
      <w:r>
        <w:t xml:space="preserve">earn rewards). The result is a system that resembles public</w:t>
      </w:r>
      <w:r>
        <w:t xml:space="preserve"> </w:t>
      </w:r>
      <w:r>
        <w:t xml:space="preserve">infrastructure governance more than 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(a DePIN-specific</w:t>
      </w:r>
      <w:r>
        <w:t xml:space="preserve"> </w:t>
      </w:r>
      <w:r>
        <w:t xml:space="preserve">design pattern in which service users burn tokens to pay for service</w:t>
      </w:r>
      <w:r>
        <w:t xml:space="preserve"> </w:t>
      </w:r>
      <w:r>
        <w:t xml:space="preserve">while operators receive newly-minted tokens as reward; the balance</w:t>
      </w:r>
      <w:r>
        <w:t xml:space="preserve"> </w:t>
      </w:r>
      <w:r>
        <w:t xml:space="preserve">between burns and mints determines whether token supply contracts or</w:t>
      </w:r>
      <w:r>
        <w:t xml:space="preserve"> </w:t>
      </w:r>
      <w:r>
        <w:t xml:space="preserve">expands with demand) bootstrap supply-side 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avowal, meaning the rules a system</w:t>
      </w:r>
      <w:r>
        <w:t xml:space="preserve"> </w:t>
      </w:r>
      <w:r>
        <w:t xml:space="preserve">operates under must be statable in a form that everyone subject to them</w:t>
      </w:r>
      <w:r>
        <w:t xml:space="preserve"> </w:t>
      </w:r>
      <w:r>
        <w:t xml:space="preserve">could in principle accept, and that coercion (slashing, bans, parameter</w:t>
      </w:r>
      <w:r>
        <w:t xml:space="preserve"> </w:t>
      </w:r>
      <w:r>
        <w:t xml:space="preserve">changes) is legitimate only when grounded in transparent and</w:t>
      </w:r>
      <w:r>
        <w:t xml:space="preserve"> </w:t>
      </w:r>
      <w:r>
        <w:t xml:space="preserve">non-arbitrary rules. Republican freedom as non-domination (Pettit 1997,</w:t>
      </w:r>
      <w:r>
        <w:t xml:space="preserve"> </w:t>
      </w:r>
      <w:r>
        <w:t xml:space="preserve">building on Skinner’s 1998 historical recovery of the neo-Roman</w:t>
      </w:r>
      <w:r>
        <w:t xml:space="preserve"> </w:t>
      </w:r>
      <w:r>
        <w:t xml:space="preserve">tradition of civic-republican political thought; Stanford Encyclopedia</w:t>
      </w:r>
      <w:r>
        <w:t xml:space="preserve"> </w:t>
      </w:r>
      <w:r>
        <w:t xml:space="preserve">of Philosophy 2025) reframes legitimacy as protection against arbitrary</w:t>
      </w:r>
      <w:r>
        <w:t xml:space="preserve"> </w:t>
      </w:r>
      <w:r>
        <w:t xml:space="preserve">power rather than mere non-interference: a person is free to the extent</w:t>
      </w:r>
      <w:r>
        <w:t xml:space="preserve"> </w:t>
      </w:r>
      <w:r>
        <w:t xml:space="preserve">that no other agent (the state, an employer, a protocol foundation)</w:t>
      </w:r>
      <w:r>
        <w:t xml:space="preserve"> </w:t>
      </w:r>
      <w:r>
        <w:t xml:space="preserve">has the capacity to interfere with them arbitrarily, even if such</w:t>
      </w:r>
      <w:r>
        <w:t xml:space="preserve"> </w:t>
      </w:r>
      <w:r>
        <w:t xml:space="preserve">interference is not currently being exercised.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126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126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126 figure counts excluded addresses across the</w:t>
      </w:r>
      <w:r>
        <w:t xml:space="preserve"> </w:t>
      </w:r>
      <w:r>
        <w:t xml:space="preserve">top-1,000 holders of the 38 protocols with documented PCA exclusions.</w:t>
      </w:r>
      <w:r>
        <w:t xml:space="preserve"> </w:t>
      </w:r>
      <w:r>
        <w:t xml:space="preserve">The samples and windows differ; the two numbers are not</w:t>
      </w:r>
      <w:r>
        <w:t xml:space="preserve"> </w:t>
      </w:r>
      <w:r>
        <w:t xml:space="preserve">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1999; oligopsony refers to a market with</w:t>
      </w:r>
      <w:r>
        <w:t xml:space="preserve"> </w:t>
      </w:r>
      <w:r>
        <w:t xml:space="preserve">few buyers facing many sellers, the mirror image of oligopoly). When</w:t>
      </w:r>
      <w:r>
        <w:t xml:space="preserve"> </w:t>
      </w:r>
      <w:r>
        <w:t xml:space="preserve">governance power exceeds the efficient bilateral-bargaining threshold,</w:t>
      </w:r>
      <w:r>
        <w:t xml:space="preserve"> </w:t>
      </w:r>
      <w:r>
        <w:t xml:space="preserve">the resulting monopsonistic markdown on operator compensation (the</w:t>
      </w:r>
      <w:r>
        <w:t xml:space="preserve"> </w:t>
      </w:r>
      <w:r>
        <w:t xml:space="preserve">amount by which a single dominant buyer can compress prices below the</w:t>
      </w:r>
      <w:r>
        <w:t xml:space="preserve"> </w:t>
      </w:r>
      <w:r>
        <w:t xml:space="preserve">competitive level by exercising buy-side market power) produces</w:t>
      </w:r>
      <w:r>
        <w:t xml:space="preserve"> </w:t>
      </w:r>
      <w:r>
        <w:t xml:space="preserve">allocative inefficiency; 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(Class 1 burn-</w:t>
      </w:r>
      <w:r>
        <w:t xml:space="preserve"> </w:t>
      </w:r>
      <w:r>
        <w:t xml:space="preserve">destination addresses; Class 2 foundation and treasury custody;</w:t>
      </w:r>
      <w:r>
        <w:t xml:space="preserve"> </w:t>
      </w:r>
      <w:r>
        <w:t xml:space="preserve">Class 3 staking-aggregation contracts; Class 4 bridge custody and</w:t>
      </w:r>
      <w:r>
        <w:t xml:space="preserve"> </w:t>
      </w:r>
      <w:r>
        <w:t xml:space="preserve">migration addresses; Class 5 centralized exchange custody); future</w:t>
      </w:r>
      <w:r>
        <w:t xml:space="preserve"> </w:t>
      </w:r>
      <w:r>
        <w:t xml:space="preserve">cross-protocol governance HHI analysis on ERC-20 or SPL token holders</w:t>
      </w:r>
      <w:r>
        <w:t xml:space="preserve"> </w:t>
      </w:r>
      <w:r>
        <w:t xml:space="preserve">can 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0.013,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 Shapley-based reward</w:t>
      </w:r>
      <w:r>
        <w:t xml:space="preserve"> </w:t>
      </w:r>
      <w:r>
        <w:t xml:space="preserve">distributions achieve bounded Price of Stability (4/3; an</w:t>
      </w:r>
      <w:r>
        <w:t xml:space="preserve"> </w:t>
      </w:r>
      <w:r>
        <w:t xml:space="preserve">efficiency-loss bound on equilibrium outcomes relative to the</w:t>
      </w:r>
      <w:r>
        <w:t xml:space="preserve"> </w:t>
      </w:r>
      <w:r>
        <w:t xml:space="preserve">welfare-optimal allocation) in oceanic staking models while inherently</w:t>
      </w:r>
      <w:r>
        <w:t xml:space="preserve"> </w:t>
      </w:r>
      <w:r>
        <w:t xml:space="preserve">resisting Sybil stake-splitting attacks (where a single actor creates</w:t>
      </w:r>
      <w:r>
        <w:t xml:space="preserve"> </w:t>
      </w:r>
      <w:r>
        <w:t xml:space="preserve">multiple pseudonymous identities to claim greater stake-weighted</w:t>
      </w:r>
      <w:r>
        <w:t xml:space="preserve"> </w:t>
      </w:r>
      <w:r>
        <w:t xml:space="preserve">rewards than their actual capital warrants; Kiayias et al., 2025),</w:t>
      </w:r>
      <w:r>
        <w:t xml:space="preserve"> </w:t>
      </w:r>
      <w:r>
        <w:t xml:space="preserve">indicating that this measurement extension is both theoretically</w:t>
      </w:r>
      <w:r>
        <w:t xml:space="preserve"> </w:t>
      </w:r>
      <w:r>
        <w:t xml:space="preserve">grounded and computationally feasible for the sample sizes in the</w:t>
      </w:r>
      <w:r>
        <w:t xml:space="preserve"> </w:t>
      </w:r>
      <w:r>
        <w:t xml:space="preserve">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2026-05-19T08:04:15Z</dcterms:created>
  <dcterms:modified xsi:type="dcterms:W3CDTF">2026-05-19T08:04:15Z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