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45.png" ContentType="image/png"/>
  <Override PartName="/word/media/rId49.png" ContentType="image/png"/>
  <Override PartName="/word/media/rId53.png" ContentType="image/png"/>
  <Override PartName="/word/media/rId72.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40-Protocol Cross-Sectional Audit of DePIN and DeFi After Protocol-Controlled-Address Exclusion</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April 2026</w:t>
      </w:r>
    </w:p>
    <w:bookmarkStart w:id="9" w:name="abstract"/>
    <w:p>
      <w:pPr>
        <w:pStyle w:val="Heading1"/>
      </w:pPr>
      <w:r>
        <w:t xml:space="preserve">Abstract</w:t>
      </w:r>
    </w:p>
    <w:p>
      <w:pPr>
        <w:pStyle w:val="FirstParagraph"/>
      </w:pPr>
      <w:r>
        <w:t xml:space="preserve">Initial token allocation design is not associated with post-distribution governance concentration. This paper reports a 40-protocol cross-section spanning DePIN, DeFi, infrastructure, and social token categories, with protocol-controlled address (PCA) exclusions applied before computing Herfindahl-Hirschman Index (HHI) concentration metrics. Six candidate launch-design and protocol-financial covariates are uninformative about steady-state concentration: insider allocation (Pearson r = 0.05, p = 0.76, N = 37), team allocation (r = -0.08, p = 0.62, N = 37), investor allocation (r = 0.14, p = 0.39, N = 37), protocol maturity (r = 0.02, p = 0.92, N = 38), circulating-to-total supply ratio (r = 0.03, p = 0.86, N = 31), and MCap-to-FDV ratio (r = 0.21, p = 0.25, N = 33). An exclusion-adjusted float specification reaches the same conclusion (r = -0.003, p = 0.99, N = 30). Post-distribution dynamics dominate launch design: protocols with more insider wallets among top holders show higher concentration (Spearman rho = 0.48, p = 0.003, N = 37), and the association survives a non-insider HHI tautology check (rho = 0.54, p = 0.001, N = 34).</w:t>
      </w:r>
    </w:p>
    <w:p>
      <w:pPr>
        <w:pStyle w:val="BodyText"/>
      </w:pPr>
      <w:r>
        <w:t xml:space="preserve">Three further findings sharpen the measurement picture. DePIN governance is more concentrated than DeFi after PCA correction (Mann-Whitney p = 0.020, Cohen’s d = 0.94; robust in 30/30 leave-one-out iterations and across five alternative PCA-exclusion specifications). Subsidy intensity is associated with concentration only when Livepeer is included (r = 0.59, p = 0.003, N = 23); excluding that single outlier yields a clean null (r = 0.07, p = 0.77), and a Token-Terminal-expanded robustness sample is consistent with the null (r = 0.12, p = 0.61, N = 20). Delegation amplifies voting power above token holdings in nine of thirteen protocols with sufficient governance data (ratios 1.6x to 9.9x; mean approximately 4.9x), with four design-driven exceptions (ENS, GMX, HNT, JUP). Together the null sweep across allocation design, maturity, float, and subsidy specifications plus the structural sector contrast plus the delegation amplification pattern position post-distribution institutional design (rather than launch parameters) as the variation-explaining axis for token governance concentration.</w:t>
      </w:r>
    </w:p>
    <w:p>
      <w:pPr>
        <w:pStyle w:val="BodyText"/>
      </w:pPr>
      <w:r>
        <w:t xml:space="preserve">The methodological contribution is a generalizable PCA exclusion typology correcting systematic inflation in prior holder-list concentration studies (median inflation factor 2.3x; maximum approximately 18x). Gini and HHI capture distinct properties of the same holder set (r = 0.59); inequality metrics cannot substitute for direct concentration measurement.</w:t>
      </w:r>
    </w:p>
    <w:p>
      <w:pPr>
        <w:pStyle w:val="BodyText"/>
      </w:pPr>
      <w:r>
        <w:rPr>
          <w:b/>
          <w:bCs/>
        </w:rPr>
        <w:t xml:space="preserve">JEL Codes:</w:t>
      </w:r>
      <w:r>
        <w:t xml:space="preserve"> </w:t>
      </w:r>
      <w:r>
        <w:t xml:space="preserve">C21, C81, D02, D71, D72, G23, G34, L22, O33</w:t>
      </w:r>
    </w:p>
    <w:p>
      <w:pPr>
        <w:pStyle w:val="BodyText"/>
      </w:pPr>
      <w:r>
        <w:rPr>
          <w:b/>
          <w:bCs/>
        </w:rPr>
        <w:t xml:space="preserve">Keywords:</w:t>
      </w:r>
      <w:r>
        <w:t xml:space="preserve"> </w:t>
      </w:r>
      <w:r>
        <w:t xml:space="preserve">governance concentration, Herfindahl-Hirschman Index, DePIN, DAO governance, delegation amplification, protocol-controlled addresses, token allocation, measurement methodology</w:t>
      </w:r>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But what shapes whether governance</w:t>
      </w:r>
      <w:r>
        <w:t xml:space="preserve"> </w:t>
      </w:r>
      <w:r>
        <w:t xml:space="preserve">power concentrates or distributes? Three candidate explanations dominate</w:t>
      </w:r>
      <w:r>
        <w:t xml:space="preserve"> </w:t>
      </w:r>
      <w:r>
        <w:t xml:space="preserve">practitioner discourse: insider token allocation concentrates power;</w:t>
      </w:r>
      <w:r>
        <w:t xml:space="preserve"> </w:t>
      </w:r>
      <w:r>
        <w:t xml:space="preserve">subsidy dependence (high token emissions relative to revenue) entrenches</w:t>
      </w:r>
      <w:r>
        <w:t xml:space="preserve"> </w:t>
      </w:r>
      <w:r>
        <w:t xml:space="preserve">early holders; and younger protocols have not yet had time to</w:t>
      </w:r>
      <w:r>
        <w:t xml:space="preserve"> </w:t>
      </w:r>
      <w:r>
        <w:t xml:space="preserve">decentralize. This paper tests all three and finds that none is sufficient as a</w:t>
      </w:r>
      <w:r>
        <w:t xml:space="preserve"> </w:t>
      </w:r>
      <w:r>
        <w:t xml:space="preserve">standalone explanation of the cross-sectional variation observed across</w:t>
      </w:r>
      <w:r>
        <w:t xml:space="preserve"> </w:t>
      </w:r>
      <w:r>
        <w:t xml:space="preserve">forty protocols.</w:t>
      </w:r>
    </w:p>
    <w:p>
      <w:pPr>
        <w:pStyle w:val="BodyText"/>
      </w:pPr>
      <w:r>
        <w:t xml:space="preserve">Two empirical contrasts illustrate why the candidate explanations fail.</w:t>
      </w:r>
      <w:r>
        <w:t xml:space="preserve"> </w:t>
      </w:r>
      <w:r>
        <w:t xml:space="preserve">Both ENS and DIMO let token holders delegate their voting power, yet the</w:t>
      </w:r>
      <w:r>
        <w:t xml:space="preserve"> </w:t>
      </w:r>
      <w:r>
        <w:t xml:space="preserve">two protocols produce opposite governance concentration outcomes. ENS</w:t>
      </w:r>
      <w:r>
        <w:t xml:space="preserve"> </w:t>
      </w:r>
      <w:r>
        <w:t xml:space="preserve">(the Ethereum Name Service) funds roughly 100 active community delegates,</w:t>
      </w:r>
      <w:r>
        <w:t xml:space="preserve"> </w:t>
      </w:r>
      <w:r>
        <w:t xml:space="preserve">and the resulting voting-power distribution is less concentrated than the</w:t>
      </w:r>
      <w:r>
        <w:t xml:space="preserve"> </w:t>
      </w:r>
      <w:r>
        <w:t xml:space="preserve">underlying token holdings (voting-to-holding amplification ratio 0.45x;</w:t>
      </w:r>
      <w:r>
        <w:t xml:space="preserve"> </w:t>
      </w:r>
      <w:r>
        <w:t xml:space="preserve">ratios below 1.0 mean delegation disperses governance power relative to</w:t>
      </w:r>
      <w:r>
        <w:t xml:space="preserve"> </w:t>
      </w:r>
      <w:r>
        <w:t xml:space="preserve">the holding baseline). DIMO, a vehicle-data DePIN protocol, has ten</w:t>
      </w:r>
      <w:r>
        <w:t xml:space="preserve"> </w:t>
      </w:r>
      <w:r>
        <w:t xml:space="preserve">active voters across the most recent twelve months, and its voting-power</w:t>
      </w:r>
      <w:r>
        <w:t xml:space="preserve"> </w:t>
      </w:r>
      <w:r>
        <w:t xml:space="preserve">distribution is 9.1 times more concentrated than its token holdings</w:t>
      </w:r>
      <w:r>
        <w:t xml:space="preserve"> </w:t>
      </w:r>
      <w:r>
        <w:t xml:space="preserve">(amplification ratio 9.1x). Across the thirteen-protocol governance</w:t>
      </w:r>
      <w:r>
        <w:t xml:space="preserve"> </w:t>
      </w:r>
      <w:r>
        <w:t xml:space="preserve">sample studied here, delegation amplifies concentration in nine of</w:t>
      </w:r>
      <w:r>
        <w:t xml:space="preserve"> </w:t>
      </w:r>
      <w:r>
        <w:t xml:space="preserve">thirteen protocols (range 1.6x to 9.9x above the holding baseline), with</w:t>
      </w:r>
      <w:r>
        <w:t xml:space="preserve"> </w:t>
      </w:r>
      <w:r>
        <w:t xml:space="preserve">four structural exceptions on the dispersing side (ENS 0.45x, GMX 0.87x,</w:t>
      </w:r>
      <w:r>
        <w:t xml:space="preserve"> </w:t>
      </w:r>
      <w:r>
        <w:t xml:space="preserve">HNT 0.35x to 0.53x, JUP 0.057x; Section 4.5). The cross-protocol</w:t>
      </w:r>
      <w:r>
        <w:t xml:space="preserve"> </w:t>
      </w:r>
      <w:r>
        <w:t xml:space="preserve">variation is not associated with sector membership or governance venue but</w:t>
      </w:r>
      <w:r>
        <w:t xml:space="preserve"> </w:t>
      </w:r>
      <w:r>
        <w:t xml:space="preserve">by institutional design choices at the delegate-program level: how many</w:t>
      </w:r>
      <w:r>
        <w:t xml:space="preserve"> </w:t>
      </w:r>
      <w:r>
        <w:t xml:space="preserve">community delegates the protocol funds, how voting power flows from</w:t>
      </w:r>
      <w:r>
        <w:t xml:space="preserve"> </w:t>
      </w:r>
      <w:r>
        <w:t xml:space="preserve">holders to delegates, and what incentives shape delegate participation</w:t>
      </w:r>
      <w:r>
        <w:t xml:space="preserve"> </w:t>
      </w:r>
      <w:r>
        <w:t xml:space="preserve">(Section 5.1).</w:t>
      </w:r>
    </w:p>
    <w:p>
      <w:pPr>
        <w:pStyle w:val="BodyText"/>
      </w:pPr>
      <w:r>
        <w:t xml:space="preserve">A parallel pattern emerges for subsidy economics: financial</w:t>
      </w:r>
      <w:r>
        <w:t xml:space="preserve"> </w:t>
      </w:r>
      <w:r>
        <w:t xml:space="preserve">sustainability is uninformative as a concentration indicator. Three</w:t>
      </w:r>
      <w:r>
        <w:t xml:space="preserve"> </w:t>
      </w:r>
      <w:r>
        <w:t xml:space="preserve">protocols with nearly identical subsidy ratios (Aethir 0.36, Aave 0.37,</w:t>
      </w:r>
      <w:r>
        <w:t xml:space="preserve"> </w:t>
      </w:r>
      <w:r>
        <w:t xml:space="preserve">io.net 0.40) span nearly an order of magnitude in governance HHI (0.013</w:t>
      </w:r>
      <w:r>
        <w:t xml:space="preserve"> </w:t>
      </w:r>
      <w:r>
        <w:t xml:space="preserve">to 0.125): financial sustainability is neither necessary nor sufficient</w:t>
      </w:r>
      <w:r>
        <w:t xml:space="preserve"> </w:t>
      </w:r>
      <w:r>
        <w:t xml:space="preserve">for governance decentralization (Section 4.4). Governance concentration</w:t>
      </w:r>
      <w:r>
        <w:t xml:space="preserve"> </w:t>
      </w:r>
      <w:r>
        <w:t xml:space="preserve">emerges as a secondary market outcome, shaped by post-distribution</w:t>
      </w:r>
      <w:r>
        <w:t xml:space="preserve"> </w:t>
      </w:r>
      <w:r>
        <w:t xml:space="preserve">trading and accumulation dynamics that neither allocation design nor</w:t>
      </w:r>
      <w:r>
        <w:t xml:space="preserve"> </w:t>
      </w:r>
      <w:r>
        <w:t xml:space="preserve">protocol financial characteristics explain in this cross-section.</w:t>
      </w:r>
    </w:p>
    <w:p>
      <w:pPr>
        <w:pStyle w:val="BodyText"/>
      </w:pPr>
      <w:r>
        <w:t xml:space="preserve">We construct a 40-protocol governance concentration dataset spanning</w:t>
      </w:r>
      <w:r>
        <w:t xml:space="preserve"> </w:t>
      </w:r>
      <w:r>
        <w:t xml:space="preserve">DePIN and DeFi, develop a Blockscout-verified (a blockchain contract</w:t>
      </w:r>
      <w:r>
        <w:t xml:space="preserve"> </w:t>
      </w:r>
      <w:r>
        <w:t xml:space="preserve">verification tool) exclusion methodology to remove 133</w:t>
      </w:r>
      <w:r>
        <w:t xml:space="preserve"> </w:t>
      </w:r>
      <w:r>
        <w:t xml:space="preserve">protocol-controlled 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and test every available</w:t>
      </w:r>
      <w:r>
        <w:t xml:space="preserve"> </w:t>
      </w:r>
      <w:r>
        <w:t xml:space="preserve">cross-sectional covariate of concentration using both parametric and</w:t>
      </w:r>
      <w:r>
        <w:t xml:space="preserve"> </w:t>
      </w:r>
      <w:r>
        <w:t xml:space="preserve">rank-based methods.</w:t>
      </w:r>
    </w:p>
    <w:p>
      <w:pPr>
        <w:pStyle w:val="BodyText"/>
      </w:pPr>
      <w:r>
        <w:t xml:space="preserve">Four empirical contributions emerge. First, naive token holder lists include addresses</w:t>
      </w:r>
      <w:r>
        <w:t xml:space="preserve"> </w:t>
      </w:r>
      <w:r>
        <w:t xml:space="preserve">that cannot vote: staking contracts, exchange custodians, vesting locks,</w:t>
      </w:r>
      <w:r>
        <w:t xml:space="preserve"> </w:t>
      </w:r>
      <w:r>
        <w:t xml:space="preserve">and protocol treasuries. Across 38 protocols, 133 such address</w:t>
      </w:r>
      <w:r>
        <w:t xml:space="preserve"> </w:t>
      </w:r>
      <w:r>
        <w:t xml:space="preserve">inclusions (125 unique addresses; five recur across multiple protocols,</w:t>
      </w:r>
      <w:r>
        <w:t xml:space="preserve"> </w:t>
      </w:r>
      <w:r>
        <w:t xml:space="preserve">e.g., Binance 8 hot wallet across four tokens) inflated affected</w:t>
      </w:r>
      <w:r>
        <w:t xml:space="preserve"> </w:t>
      </w:r>
      <w:r>
        <w:t xml:space="preserve">protocols’ HHI in prior concentration measurements by up to 18x (RENDER,</w:t>
      </w:r>
      <w:r>
        <w:t xml:space="preserve"> </w:t>
      </w:r>
      <w:r>
        <w:t xml:space="preserve">where Wormhole Token Bridge custody dominated naive top-1000 holdings;</w:t>
      </w:r>
      <w:r>
        <w:t xml:space="preserve"> </w:t>
      </w:r>
      <w:r>
        <w:t xml:space="preserve">median inflation factor 2.3x across 32 protocols with complete</w:t>
      </w:r>
      <w:r>
        <w:t xml:space="preserve"> </w:t>
      </w:r>
      <w:r>
        <w:t xml:space="preserve">pre-exclusion and post-exclusion HHI logged). The methodology generalizes</w:t>
      </w:r>
      <w:r>
        <w:t xml:space="preserve"> </w:t>
      </w:r>
      <w:r>
        <w:t xml:space="preserve">via the five-class typology in Section 3.8, supporting uniform replication</w:t>
      </w:r>
      <w:r>
        <w:t xml:space="preserve"> </w:t>
      </w:r>
      <w:r>
        <w:t xml:space="preserve">across ERC-20 and SPL token-governance datasets. Second, initial allocation</w:t>
      </w:r>
      <w:r>
        <w:t xml:space="preserve"> </w:t>
      </w:r>
      <w:r>
        <w:t xml:space="preserve">design is uninformative about concentration while current insider wallet</w:t>
      </w:r>
      <w:r>
        <w:t xml:space="preserve"> </w:t>
      </w:r>
      <w:r>
        <w:t xml:space="preserve">retention is associated with concentration (Spearman rho = 0.48, p =</w:t>
      </w:r>
      <w:r>
        <w:t xml:space="preserve"> </w:t>
      </w:r>
      <w:r>
        <w:t xml:space="preserve">0.003, N = 37; Section 4.4). Third,</w:t>
      </w:r>
      <w:r>
        <w:t xml:space="preserve"> </w:t>
      </w:r>
      <w:r>
        <w:t xml:space="preserve">DePIN governance concentration is higher than DeFi after exclusion</w:t>
      </w:r>
      <w:r>
        <w:t xml:space="preserve"> </w:t>
      </w:r>
      <w:r>
        <w:t xml:space="preserve">correction (Mann-Whitney p = 0.020, Cohen’s d = 0.94), and the finding</w:t>
      </w:r>
      <w:r>
        <w:t xml:space="preserve"> </w:t>
      </w:r>
      <w:r>
        <w:t xml:space="preserve">is robust to single-protocol exclusion (significant in all 30 of 30</w:t>
      </w:r>
      <w:r>
        <w:t xml:space="preserve"> </w:t>
      </w:r>
      <w:r>
        <w:t xml:space="preserve">leave-one-out iterations).</w:t>
      </w:r>
    </w:p>
    <w:p>
      <w:pPr>
        <w:pStyle w:val="BodyText"/>
      </w:pPr>
      <w:r>
        <w:t xml:space="preserve">Fourth, delegation concentrates governance power in nine of thirteen</w:t>
      </w:r>
      <w:r>
        <w:t xml:space="preserve"> </w:t>
      </w:r>
      <w:r>
        <w:t xml:space="preserve">protocols sampled, with amplification factors of 1.6x (DRIFT), 2.7x (Uniswap), 3.1x</w:t>
      </w:r>
      <w:r>
        <w:t xml:space="preserve"> </w:t>
      </w:r>
      <w:r>
        <w:t xml:space="preserve">(Arbitrum), 3.6x (Optimism), 3.8x (WeatherXM), 4.4x (Aave), 6.3x</w:t>
      </w:r>
      <w:r>
        <w:t xml:space="preserve"> </w:t>
      </w:r>
      <w:r>
        <w:t xml:space="preserve">(Lido), 9.1x (DIMO), and 9.9x (Compound). Four protocols</w:t>
      </w:r>
      <w:r>
        <w:t xml:space="preserve"> </w:t>
      </w:r>
      <w:r>
        <w:t xml:space="preserve">(ENS at 0.45x; GMX at 0.87x; HNT at 0.35x-0.53x; JUP at 0.057x most-extreme dispersion outlier) show delegation-mediated dispersion, reflecting</w:t>
      </w:r>
      <w:r>
        <w:t xml:space="preserve"> </w:t>
      </w:r>
      <w:r>
        <w:t xml:space="preserve">mature-delegate-program (ENS), methodology-sensitive crossover (GMX), Solana VSR lockup-weighted design (HNT), and Solana delegated-vote with broad airdrop user base (JUP) patterns where holders systematically delegate to a</w:t>
      </w:r>
      <w:r>
        <w:t xml:space="preserve"> </w:t>
      </w:r>
      <w:r>
        <w:t xml:space="preserve">broader community-delegate set or vote-weight mechanism design distributes voting power below the holding baseline. Two further protocols (Uniswap,</w:t>
      </w:r>
      <w:r>
        <w:t xml:space="preserve"> </w:t>
      </w:r>
      <w:r>
        <w:t xml:space="preserve">Optimism) would appear to show dispersion if holding HHI were measured</w:t>
      </w:r>
      <w:r>
        <w:t xml:space="preserve"> </w:t>
      </w:r>
      <w:r>
        <w:t xml:space="preserve">without excluding addresses that cannot vote (burn wallets, foundation</w:t>
      </w:r>
      <w:r>
        <w:t xml:space="preserve"> </w:t>
      </w:r>
      <w:r>
        <w:t xml:space="preserve">treasuries); under the consistent exclusion methodology applied</w:t>
      </w:r>
      <w:r>
        <w:t xml:space="preserve"> </w:t>
      </w:r>
      <w:r>
        <w:t xml:space="preserve">throughout this paper, both protocols join the amplification pattern. Curve and Balancer (vote-escrowed governance via veCRV, which is vote-escrowed CRV, and veBAL, vote-escrowed BAL) show extreme amplification (15x and 21x) reflecting lock-duration</w:t>
      </w:r>
      <w:r>
        <w:t xml:space="preserve"> </w:t>
      </w:r>
      <w:r>
        <w:t xml:space="preserve">weighting and form a distinct class discussed in Section 4.5.2.</w:t>
      </w:r>
      <w:r>
        <w:t xml:space="preserve"> </w:t>
      </w:r>
      <w:r>
        <w:t xml:space="preserve">Institutional design within each delegate program is associated with</w:t>
      </w:r>
      <w:r>
        <w:t xml:space="preserve"> </w:t>
      </w:r>
      <w:r>
        <w:t xml:space="preserve">whether delegation concentrates power and how strongly.</w:t>
      </w:r>
    </w:p>
    <w:p>
      <w:pPr>
        <w:pStyle w:val="BodyText"/>
      </w:pPr>
      <w:r>
        <w:t xml:space="preserve">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forty protocols spanning</w:t>
      </w:r>
      <w:r>
        <w:t xml:space="preserve"> </w:t>
      </w:r>
      <w:r>
        <w:t xml:space="preserve">DePIN and adjacent categories.</w:t>
      </w:r>
    </w:p>
    <w:p>
      <w:pPr>
        <w:pStyle w:val="BodyText"/>
      </w:pPr>
      <w:r>
        <w:t xml:space="preserve">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r>
        <w:t xml:space="preserve">1.2 Companion Theory and Normative Bridge</w:t>
      </w:r>
    </w:p>
    <w:p>
      <w:pPr>
        <w:pStyle w:val="FirstParagraph"/>
      </w:pPr>
      <w:r>
        <w:t xml:space="preserve">Governance concentration is not only a statistical pattern; it bears on institutional legitimacy when a small set of holders or delegates can set rules affecting many participants. A companion theoretical paper develops the Polanyian interpretation: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p>
    <w:bookmarkEnd w:id="11"/>
    <w:bookmarkStart w:id="12" w:name="research-questions"/>
    <w:p>
      <w:pPr>
        <w:pStyle w:val="Heading2"/>
      </w:pPr>
      <w:r>
        <w:t xml:space="preserve">1.3 Research Questions</w:t>
      </w:r>
    </w:p>
    <w:p>
      <w:pPr>
        <w:pStyle w:val="FirstParagraph"/>
      </w:pPr>
      <w:r>
        <w:t xml:space="preserve">Three empirical research questions guide the analysis:</w:t>
      </w:r>
    </w:p>
    <w:p>
      <w:pPr>
        <w:pStyle w:val="BodyText"/>
      </w:pPr>
      <w:r>
        <w:t xml:space="preserve">RQ1: After PCA exclusion, which cross-sectional protocol features are associated with post-distribution holder concentration (HHI)?</w:t>
      </w:r>
    </w:p>
    <w:p>
      <w:pPr>
        <w:pStyle w:val="BodyText"/>
      </w:pPr>
      <w:r>
        <w:t xml:space="preserve">RQ2: How does delegated voting power deviate from post-exclusion token holdings, and is amplification associated with sector or governance venue?</w:t>
      </w:r>
    </w:p>
    <w:p>
      <w:pPr>
        <w:pStyle w:val="BodyText"/>
      </w:pPr>
      <w:r>
        <w:t xml:space="preserve">RQ3: Which measurement and design implications follow for governance audits that rely on launch-time allocation or naive holder lists?</w:t>
      </w:r>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r>
        <w:rPr>
          <w:b/>
          <w:bCs/>
        </w:rPr>
        <w:t xml:space="preserve">Holder lists require classification.</w:t>
      </w:r>
      <w:r>
        <w:t xml:space="preserve"> </w:t>
      </w:r>
      <w:r>
        <w:t xml:space="preserve">Addresses that custody, burn, lock, bridge, or treasury-hold tokens should not be treated as independent governance holders.</w:t>
      </w:r>
    </w:p>
    <w:p>
      <w:pPr>
        <w:pStyle w:val="Compact"/>
        <w:numPr>
          <w:ilvl w:val="0"/>
          <w:numId w:val="1001"/>
        </w:numPr>
      </w:pPr>
      <w:r>
        <w:rPr>
          <w:b/>
          <w:bCs/>
        </w:rPr>
        <w:t xml:space="preserve">Snapshots measure states, not trajectories.</w:t>
      </w:r>
      <w:r>
        <w:t xml:space="preserve"> </w:t>
      </w:r>
      <w:r>
        <w:t xml:space="preserve">The March 2026 cross-section supports association and comparison, not causal claims about deconcentration over time.</w:t>
      </w:r>
    </w:p>
    <w:p>
      <w:pPr>
        <w:pStyle w:val="Compact"/>
        <w:numPr>
          <w:ilvl w:val="0"/>
          <w:numId w:val="1001"/>
        </w:numPr>
      </w:pPr>
      <w:r>
        <w:rPr>
          <w:b/>
          <w:bCs/>
        </w:rPr>
        <w:t xml:space="preserve">Voting power can diverge from holdings.</w:t>
      </w:r>
      <w:r>
        <w:t xml:space="preserve"> </w:t>
      </w:r>
      <w:r>
        <w:t xml:space="preserve">Delegation and vote-escrow mechanics require separate voting-HHI measurement where data are available.</w:t>
      </w:r>
    </w:p>
    <w:bookmarkEnd w:id="14"/>
    <w:bookmarkStart w:id="15" w:name="limitations-preview"/>
    <w:p>
      <w:pPr>
        <w:pStyle w:val="Heading3"/>
      </w:pPr>
      <w:r>
        <w:t xml:space="preserve">1.4.3 Limitations (preview)</w:t>
      </w:r>
    </w:p>
    <w:p>
      <w:pPr>
        <w:pStyle w:val="FirstParagraph"/>
      </w:pPr>
      <w:r>
        <w:t xml:space="preserve">Three classes of limitation deserve early notice. Measurement scope:</w:t>
      </w:r>
      <w:r>
        <w:t xml:space="preserve"> </w:t>
      </w:r>
      <w:r>
        <w:t xml:space="preserve">concentration is measured from holder lists and governance voting</w:t>
      </w:r>
      <w:r>
        <w:t xml:space="preserve"> </w:t>
      </w:r>
      <w:r>
        <w:t xml:space="preserve">surfaces after PCA exclusion; informal influence, off-chain coordination,</w:t>
      </w:r>
      <w:r>
        <w:t xml:space="preserve"> </w:t>
      </w:r>
      <w:r>
        <w:t xml:space="preserve">and proposal-specific quorum rules are not fully captured. Causal</w:t>
      </w:r>
      <w:r>
        <w:t xml:space="preserve"> </w:t>
      </w:r>
      <w:r>
        <w:t xml:space="preserve">inference scope: a March 2026 cross-section supports descriptive</w:t>
      </w:r>
      <w:r>
        <w:t xml:space="preserve"> </w:t>
      </w:r>
      <w:r>
        <w:t xml:space="preserve">association, not causal identification. Data limitations: voting-HHI</w:t>
      </w:r>
      <w:r>
        <w:t xml:space="preserve"> </w:t>
      </w:r>
      <w:r>
        <w:t xml:space="preserve">is available for thirteen protocols, PCA classification is weaker on</w:t>
      </w:r>
      <w:r>
        <w:t xml:space="preserve"> </w:t>
      </w:r>
      <w:r>
        <w:t xml:space="preserve">some Solana-native tokens, and the 40-protocol sample is small for</w:t>
      </w:r>
      <w:r>
        <w:t xml:space="preserve"> </w:t>
      </w:r>
      <w:r>
        <w:t xml:space="preserve">fully specified multivariate models. Each limitation is developed in</w:t>
      </w:r>
      <w:r>
        <w:t xml:space="preserve"> </w:t>
      </w:r>
      <w:r>
        <w:t xml:space="preserve">Section 5.7 with the relevant robustness defenses.</w:t>
      </w:r>
    </w:p>
    <w:bookmarkEnd w:id="15"/>
    <w:bookmarkEnd w:id="16"/>
    <w:bookmarkStart w:id="17" w:name="paper-outline"/>
    <w:p>
      <w:pPr>
        <w:pStyle w:val="Heading2"/>
      </w:pPr>
      <w:r>
        <w:t xml:space="preserve">1.5 Paper Outline</w:t>
      </w:r>
    </w:p>
    <w:p>
      <w:pPr>
        <w:pStyle w:val="FirstParagraph"/>
      </w:pPr>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p>
    <w:bookmarkEnd w:id="17"/>
    <w:bookmarkEnd w:id="18"/>
    <w:bookmarkStart w:id="31" w:name="related-work"/>
    <w:p>
      <w:pPr>
        <w:pStyle w:val="Heading1"/>
      </w:pPr>
      <w:r>
        <w:t xml:space="preserve">2 Related Work</w:t>
      </w:r>
    </w:p>
    <w:p>
      <w:pPr>
        <w:pStyle w:val="FirstParagraph"/>
      </w:pPr>
      <w:r>
        <w:t xml:space="preserve">Sections 2.1 through 2.8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p>
    <w:bookmarkStart w:id="19" w:name="overview"/>
    <w:p>
      <w:pPr>
        <w:pStyle w:val="Heading2"/>
      </w:pPr>
      <w:r>
        <w:t xml:space="preserve">2.1 Overview</w:t>
      </w:r>
    </w:p>
    <w:p>
      <w:pPr>
        <w:pStyle w:val="FirstParagraph"/>
      </w:pPr>
      <w:r>
        <w:t xml:space="preserve">Three measurement gaps in the token-governance literature motivate this</w:t>
      </w:r>
      <w:r>
        <w:t xml:space="preserve"> </w:t>
      </w:r>
      <w:r>
        <w:t xml:space="preserve">paper. First, prior holder-list HHI computations have not systematically</w:t>
      </w:r>
      <w:r>
        <w:t xml:space="preserve"> </w:t>
      </w:r>
      <w:r>
        <w:t xml:space="preserve">excluded protocol-controlled addresses (staking contracts, treasuries,</w:t>
      </w:r>
      <w:r>
        <w:t xml:space="preserve"> </w:t>
      </w:r>
      <w:r>
        <w:t xml:space="preserve">bridge custody, exchange wallets), inflating concentration estimates by</w:t>
      </w:r>
      <w:r>
        <w:t xml:space="preserve"> </w:t>
      </w:r>
      <w:r>
        <w:t xml:space="preserve">a median 2.3x and up to 18x in this paper’s sample. Second, the</w:t>
      </w:r>
      <w:r>
        <w:t xml:space="preserve"> </w:t>
      </w:r>
      <w:r>
        <w:t xml:space="preserve">cross-sectional relationship between launch-time token allocation and</w:t>
      </w:r>
      <w:r>
        <w:t xml:space="preserve"> </w:t>
      </w:r>
      <w:r>
        <w:t xml:space="preserve">post-distribution concentration has not been tested with sample size</w:t>
      </w:r>
      <w:r>
        <w:t xml:space="preserve"> </w:t>
      </w:r>
      <w:r>
        <w:t xml:space="preserve">sufficient for null findings to be informative. Third, the gap between</w:t>
      </w:r>
      <w:r>
        <w:t xml:space="preserve"> </w:t>
      </w:r>
      <w:r>
        <w:t xml:space="preserve">holding HHI and delegated voting HHI has not been measured across</w:t>
      </w:r>
      <w:r>
        <w:t xml:space="preserve"> </w:t>
      </w:r>
      <w:r>
        <w:t xml:space="preserve">sectors using comparable governance data surfaces (Tally, Snapshot,</w:t>
      </w:r>
      <w:r>
        <w:t xml:space="preserve"> </w:t>
      </w:r>
      <w:r>
        <w:t xml:space="preserve">Solana on-chain governance).</w:t>
      </w:r>
    </w:p>
    <w:p>
      <w:pPr>
        <w:pStyle w:val="BodyText"/>
      </w:pPr>
      <w:r>
        <w:t xml:space="preserve">The literature spans voting-power concentration in major DAOs (Fritsch</w:t>
      </w:r>
      <w:r>
        <w:t xml:space="preserve"> </w:t>
      </w:r>
      <w:r>
        <w:t xml:space="preserve">et al., 2024), insider trading by proposal managers (Cong et al., 2025),</w:t>
      </w:r>
      <w:r>
        <w:t xml:space="preserve"> </w:t>
      </w:r>
      <w:r>
        <w:t xml:space="preserve">the</w:t>
      </w:r>
      <w:r>
        <w:t xml:space="preserve"> </w:t>
      </w:r>
      <w:r>
        <w:t xml:space="preserve">“decentralization illusion”</w:t>
      </w:r>
      <w:r>
        <w:t xml:space="preserve"> </w:t>
      </w:r>
      <w:r>
        <w:t xml:space="preserve">(Aramonte et al., 2021), and structural</w:t>
      </w:r>
      <w:r>
        <w:t xml:space="preserve"> </w:t>
      </w:r>
      <w:r>
        <w:t xml:space="preserve">concentration patterns across categories (Barbereau et al., 2023;</w:t>
      </w:r>
      <w:r>
        <w:t xml:space="preserve"> </w:t>
      </w:r>
      <w:r>
        <w:t xml:space="preserve">Feichtinger et al., 2023). The subsections below review the strands</w:t>
      </w:r>
      <w:r>
        <w:t xml:space="preserve"> </w:t>
      </w:r>
      <w:r>
        <w:t xml:space="preserve">relevant to each gap: tokenomics as mechanism and institutional design</w:t>
      </w:r>
      <w:r>
        <w:t xml:space="preserve"> </w:t>
      </w:r>
      <w:r>
        <w:t xml:space="preserve">(§2.2-2.3), DAO governance concentration and delegation (§2.4), DePIN</w:t>
      </w:r>
      <w:r>
        <w:t xml:space="preserve"> </w:t>
      </w:r>
      <w:r>
        <w:t xml:space="preserve">tokenomics (§2.5), constitutional and polycentric framings (§2.6), and</w:t>
      </w:r>
      <w:r>
        <w:t xml:space="preserve"> </w:t>
      </w:r>
      <w:r>
        <w:t xml:space="preserve">synthesis (§2.7-§2.8).</w:t>
      </w:r>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r>
        <w:t xml:space="preserve">The legitimacy of tokenized governance depends not only on formal voting</w:t>
      </w:r>
      <w:r>
        <w:t xml:space="preserve"> </w:t>
      </w:r>
      <w:r>
        <w:t xml:space="preserve">rules but also on power distribution and participation (Aramonte et al.,</w:t>
      </w:r>
      <w:r>
        <w:t xml:space="preserve"> </w:t>
      </w:r>
      <w:r>
        <w:t xml:space="preserve">2021; Nadler &amp; Schär, 2020) structure. Decentralized Autonomous</w:t>
      </w:r>
      <w:r>
        <w:t xml:space="preserve"> </w:t>
      </w:r>
      <w:r>
        <w:t xml:space="preserve">Organizations (DAOs; on-chain organizations whose governance rules and</w:t>
      </w:r>
      <w:r>
        <w:t xml:space="preserve"> </w:t>
      </w:r>
      <w:r>
        <w:t xml:space="preserve">treasury controls are encoded in smart contracts and exercised via</w:t>
      </w:r>
      <w:r>
        <w:t xml:space="preserve"> </w:t>
      </w:r>
      <w:r>
        <w:t xml:space="preserve">token-weighted voting) and similar token-governed protocols face a</w:t>
      </w:r>
      <w:r>
        <w:t xml:space="preserve"> </w:t>
      </w:r>
      <w:r>
        <w:t xml:space="preserve">central challenge: token-based governance can produce concentrated</w:t>
      </w:r>
      <w:r>
        <w:t xml:space="preserve"> </w:t>
      </w:r>
      <w:r>
        <w:t xml:space="preserve">influence (Barbereau et al., 2023) including</w:t>
      </w:r>
      <w:r>
        <w:t xml:space="preserve"> </w:t>
      </w:r>
      <w:r>
        <w:t xml:space="preserve">“whales”</w:t>
      </w:r>
      <w:r>
        <w:t xml:space="preserve"> </w:t>
      </w:r>
      <w:r>
        <w:t xml:space="preserve">(very large</w:t>
      </w:r>
      <w:r>
        <w:t xml:space="preserve"> </w:t>
      </w:r>
      <w:r>
        <w:t xml:space="preserve">individual holders), delegates (parties who receive voting power</w:t>
      </w:r>
      <w:r>
        <w:t xml:space="preserve"> </w:t>
      </w:r>
      <w:r>
        <w:t xml:space="preserve">from many other holders), or insiders, leading to outcomes that are</w:t>
      </w:r>
      <w:r>
        <w:t xml:space="preserve"> </w:t>
      </w:r>
      <w:r>
        <w:t xml:space="preserve">formally decentralized but substantively centralized. The</w:t>
      </w:r>
      <w:r>
        <w:t xml:space="preserve"> </w:t>
      </w:r>
      <w:r>
        <w:t xml:space="preserve">political-theory foundations of decentralized autonomous organizations</w:t>
      </w:r>
      <w:r>
        <w:t xml:space="preserve"> </w:t>
      </w:r>
      <w:r>
        <w:t xml:space="preserve">have been developed across two complementary lines of work: an early</w:t>
      </w:r>
      <w:r>
        <w:t xml:space="preserve"> </w:t>
      </w:r>
      <w:r>
        <w:t xml:space="preserve">political-theory line (DuPont, 2014,</w:t>
      </w:r>
      <w:r>
        <w:t xml:space="preserve"> </w:t>
      </w:r>
      <w:r>
        <w:t xml:space="preserve">“The Politics of Cryptography”</w:t>
      </w:r>
      <w:r>
        <w:t xml:space="preserve">;</w:t>
      </w:r>
      <w:r>
        <w:t xml:space="preserve"> </w:t>
      </w:r>
      <w:r>
        <w:t xml:space="preserve">Atzori, 2017) treating DAOs as new constitutional sites, and a more</w:t>
      </w:r>
      <w:r>
        <w:t xml:space="preserve"> </w:t>
      </w:r>
      <w:r>
        <w:t xml:space="preserve">recent commons-governance line (Schneider, 2024,</w:t>
      </w:r>
      <w:r>
        <w:t xml:space="preserve"> </w:t>
      </w:r>
      <w:r>
        <w:t xml:space="preserve">“Governable Spaces”</w:t>
      </w:r>
      <w:r>
        <w:t xml:space="preserve">)</w:t>
      </w:r>
      <w:r>
        <w:t xml:space="preserve"> </w:t>
      </w:r>
      <w:r>
        <w:t xml:space="preserve">that engages Ostromian polycentricity directly and provides a synthesis</w:t>
      </w:r>
      <w:r>
        <w:t xml:space="preserve"> </w:t>
      </w:r>
      <w:r>
        <w:t xml:space="preserve">between DAO design and commons-management scholarship. This paper uses that literature to motivate measurement of who can actually exercise governance power; complementary work in corporate-governance theory (Tirole, 2001, on managerial accountability and minority protection) provides a structurally-parallel reference for the principal-agent concerns that recur in delegated token governance.</w:t>
      </w:r>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w:t>
      </w:r>
      <w:r>
        <w:t xml:space="preserve"> </w:t>
      </w:r>
      <w:r>
        <w:t xml:space="preserve">Laredo, Kumar, and Compton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1.6x to 9.9x delegation</w:t>
      </w:r>
      <w:r>
        <w:t xml:space="preserve"> </w:t>
      </w:r>
      <w:r>
        <w:t xml:space="preserve">amplification ratios documented in Section 4.5 are consistent with</w:t>
      </w:r>
      <w:r>
        <w:t xml:space="preserve"> </w:t>
      </w:r>
      <w:r>
        <w:t xml:space="preserve">this clumping pattern.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0.05,</w:t>
      </w:r>
      <w:r>
        <w:t xml:space="preserve"> </w:t>
      </w:r>
      <w:r>
        <w:t xml:space="preserve">p = 0.76,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and (ii) legitimacy depends on measurable</w:t>
      </w:r>
      <w:r>
        <w:t xml:space="preserve"> </w:t>
      </w:r>
      <w:r>
        <w:t xml:space="preserve">concentration constraints and 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This paper draws on that literature only to motivate why governance concentration is worth measuring; optional legitimacy-scoring instruments are preserved in supplements.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w:t>
      </w:r>
      <w:r>
        <w:t xml:space="preserve"> </w:t>
      </w:r>
      <w:r>
        <w:t xml:space="preserve">here.</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r>
        <w:t xml:space="preserve">Across economics, computer science, political philosophy, and</w:t>
      </w:r>
      <w:r>
        <w:t xml:space="preserve"> </w:t>
      </w:r>
      <w:r>
        <w:t xml:space="preserve">institutional analysis, a shared conclusion emerges: tokenized systems</w:t>
      </w:r>
      <w:r>
        <w:t xml:space="preserve"> </w:t>
      </w:r>
      <w:r>
        <w:t xml:space="preserve">create constitutions and policies in code (Werner et al., 2022). Yet</w:t>
      </w:r>
      <w:r>
        <w:t xml:space="preserve"> </w:t>
      </w:r>
      <w:r>
        <w:t xml:space="preserve">existing literature rarely measures who can exercise governance power</w:t>
      </w:r>
      <w:r>
        <w:t xml:space="preserve"> </w:t>
      </w:r>
      <w:r>
        <w:t xml:space="preserve">after token distribution, PCA correction, and delegation. This paper</w:t>
      </w:r>
      <w:r>
        <w:t xml:space="preserve"> </w:t>
      </w:r>
      <w:r>
        <w:t xml:space="preserve">addresses the gap empirically; the four-contribution structure stated in</w:t>
      </w:r>
      <w:r>
        <w:t xml:space="preserve"> </w:t>
      </w:r>
      <w:r>
        <w:t xml:space="preserve">§1.1 maps to the methodology in §3 and the results in §4.</w:t>
      </w:r>
    </w:p>
    <w:bookmarkEnd w:id="30"/>
    <w:bookmarkEnd w:id="31"/>
    <w:bookmarkStart w:id="43" w:name="data-and-methods"/>
    <w:p>
      <w:pPr>
        <w:pStyle w:val="Heading1"/>
      </w:pPr>
      <w:r>
        <w:t xml:space="preserve">3 Data and Methods</w:t>
      </w:r>
    </w:p>
    <w:bookmarkStart w:id="32" w:name="empirical-approach"/>
    <w:p>
      <w:pPr>
        <w:pStyle w:val="Heading2"/>
      </w:pPr>
      <w:r>
        <w:t xml:space="preserve">3.1 Empirical Approach</w:t>
      </w:r>
    </w:p>
    <w:p>
      <w:pPr>
        <w:pStyle w:val="FirstParagraph"/>
      </w:pPr>
      <w:r>
        <w:t xml:space="preserve">The empirical pipeline has three parts. First, the paper constructs a 40-protocol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p>
    <w:p>
      <w:pPr>
        <w:pStyle w:val="BodyText"/>
      </w:pPr>
      <w:r>
        <w:t xml:space="preserve">The analysis is descriptive. It tests whether observed protocol characteristics are associated with concentration in a March 2026 snapshot. It does not claim causal identification. Longitudinal panel and event-study designs are specified as future work.</w:t>
      </w:r>
    </w:p>
    <w:p>
      <w:pPr>
        <w:pStyle w:val="BodyText"/>
      </w:pPr>
      <w:r>
        <w:rPr>
          <w:b/>
          <w:bCs/>
        </w:rPr>
        <w:t xml:space="preserve">Sample flow (March 2026 snapshot).</w:t>
      </w:r>
      <w:r>
        <w:t xml:space="preserve"> </w:t>
      </w:r>
      <w:r>
        <w:t xml:space="preserve">The full cross-section includes N = 40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13 protocols with sufficient governance data (Table 6).</w:t>
      </w:r>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r>
        <w:rPr>
          <w:b/>
          <w:bCs/>
        </w:rPr>
        <w:t xml:space="preserve">Sampling principles.</w:t>
      </w:r>
      <w:r>
        <w:t xml:space="preserve"> </w:t>
      </w:r>
      <w:r>
        <w:t xml:space="preserve">Protocols were selected to (i) span multiple</w:t>
      </w:r>
      <w:r>
        <w:t xml:space="preserve"> </w:t>
      </w:r>
      <w:r>
        <w:t xml:space="preserve">categories (L1/L2, DeFi, infrastructure/oracles, DePIN, social),</w:t>
      </w:r>
      <w:r>
        <w:t xml:space="preserve"> </w:t>
      </w:r>
      <w:r>
        <w:t xml:space="preserve">(ii) include</w:t>
      </w:r>
      <w:r>
        <w:t xml:space="preserve"> </w:t>
      </w:r>
      <w:r>
        <w:t xml:space="preserve">“dead”</w:t>
      </w:r>
      <w:r>
        <w:t xml:space="preserve"> </w:t>
      </w:r>
      <w:r>
        <w:t xml:space="preserve">or stagnated projects to reduce survivorship bias,</w:t>
      </w:r>
      <w:r>
        <w:t xml:space="preserve"> </w:t>
      </w:r>
      <w:r>
        <w:t xml:space="preserve">and (iii) stratify by chain and launch epoch to control for regime</w:t>
      </w:r>
      <w:r>
        <w:t xml:space="preserve"> </w:t>
      </w:r>
      <w:r>
        <w:t xml:space="preserve">effects.</w:t>
      </w:r>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40-protocol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S6</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r>
        <w:rPr>
          <w:b/>
          <w:bCs/>
        </w:rPr>
        <w:t xml:space="preserve">Reading Table 3.</w:t>
      </w:r>
      <w:r>
        <w:t xml:space="preserve"> </w:t>
      </w:r>
      <w:r>
        <w:t xml:space="preserve">Top-1% and Top-10% columns report literal</w:t>
      </w:r>
      <w:r>
        <w:t xml:space="preserve"> </w:t>
      </w:r>
      <w:r>
        <w:t xml:space="preserve">cumulative shares: Top-1% is the supply share of the single largest</w:t>
      </w:r>
      <w:r>
        <w:t xml:space="preserve"> </w:t>
      </w:r>
      <w:r>
        <w:t xml:space="preserve">holder; Top-10% is the cumulative share of the top 10 holders, both</w:t>
      </w:r>
      <w:r>
        <w:t xml:space="preserve"> </w:t>
      </w:r>
      <w:r>
        <w:t xml:space="preserve">computed as percentages of the post-exclusion top-1,000-holder sample</w:t>
      </w:r>
      <w:r>
        <w:t xml:space="preserve"> </w:t>
      </w:r>
      <w:r>
        <w:t xml:space="preserve">total. The Top-5% column (in the canonical CSV; not displayed in this</w:t>
      </w:r>
      <w:r>
        <w:t xml:space="preserve"> </w:t>
      </w:r>
      <w:r>
        <w:t xml:space="preserve">table) reports the top 5 holders cumulative share under the same</w:t>
      </w:r>
      <w:r>
        <w:t xml:space="preserve"> </w:t>
      </w:r>
      <w:r>
        <w:t xml:space="preserve">convention. For protocols with fewer than 1,000 unique non-zero holders</w:t>
      </w:r>
      <w:r>
        <w:t xml:space="preserve"> </w:t>
      </w:r>
      <w:r>
        <w:t xml:space="preserve">after exclusion, the same literal-top-N convention applies to the actual</w:t>
      </w:r>
      <w:r>
        <w:t xml:space="preserve"> </w:t>
      </w:r>
      <w:r>
        <w:t xml:space="preserve">N. For protocols with more than 1,000 unique non-zero holders</w:t>
      </w:r>
      <w:r>
        <w:t xml:space="preserve"> </w:t>
      </w:r>
      <w:r>
        <w:t xml:space="preserve">post-exclusion, the top-1,000 holders are sampled and the literal top-1</w:t>
      </w:r>
      <w:r>
        <w:t xml:space="preserve"> </w:t>
      </w:r>
      <w:r>
        <w:t xml:space="preserve">and top-10 shares within that top-1,000 sample are reported. The HHI</w:t>
      </w:r>
      <w:r>
        <w:t xml:space="preserve"> </w:t>
      </w:r>
      <w:r>
        <w:t xml:space="preserve">and Top-N values in Table 3 reflect the canonical top-1,000</w:t>
      </w:r>
      <w:r>
        <w:t xml:space="preserve"> </w:t>
      </w:r>
      <w:r>
        <w:t xml:space="preserve">pre-exclusion computation; strict application of the (1,000 + PCAs)</w:t>
      </w:r>
      <w:r>
        <w:t xml:space="preserve"> </w:t>
      </w:r>
      <w:r>
        <w:t xml:space="preserve">pre-exclusion convention reported in the N column would yield HHI</w:t>
      </w:r>
      <w:r>
        <w:t xml:space="preserve"> </w:t>
      </w:r>
      <w:r>
        <w:t xml:space="preserve">shifts below 0.0001 and Top-N shifts below 0.1 percentage points,</w:t>
      </w:r>
      <w:r>
        <w:t xml:space="preserve"> </w:t>
      </w:r>
      <w:r>
        <w:t xml:space="preserve">immaterial for the cross-protocol comparisons reported in Section 4.</w:t>
      </w:r>
    </w:p>
    <w:bookmarkEnd w:id="34"/>
    <w:bookmarkStart w:id="35" w:name="Xaacb50fea6df1cee9492765d6d199ee06417d5d"/>
    <w:p>
      <w:pPr>
        <w:pStyle w:val="Heading2"/>
      </w:pPr>
      <w:r>
        <w:t xml:space="preserve">3.3 Data Sources (Replicable, Multi-Disciplinary)</w:t>
      </w:r>
    </w:p>
    <w:p>
      <w:pPr>
        <w:pStyle w:val="FirstParagraph"/>
      </w:pPr>
      <w:r>
        <w:t xml:space="preserve">Four data streams inform the analysis: on-chain data (Dune Analytics,</w:t>
      </w:r>
      <w:r>
        <w:t xml:space="preserve"> </w:t>
      </w:r>
      <w:r>
        <w:t xml:space="preserve">Helius DAS API), protocol documentation (whitepapers, governance forums,</w:t>
      </w:r>
      <w:r>
        <w:t xml:space="preserve"> </w:t>
      </w:r>
      <w:r>
        <w:t xml:space="preserve">parameter docs), analytic aggregators (Token Terminal, DeFiLlama,</w:t>
      </w:r>
      <w:r>
        <w:t xml:space="preserve"> </w:t>
      </w:r>
      <w:r>
        <w:t xml:space="preserve">CoinGecko), and public academic and policy sources. A systematic data</w:t>
      </w:r>
      <w:r>
        <w:t xml:space="preserve"> </w:t>
      </w:r>
      <w:r>
        <w:t xml:space="preserve">coverage gap between DeFi and DePIN protocols (Token Terminal covers</w:t>
      </w:r>
      <w:r>
        <w:t xml:space="preserve"> </w:t>
      </w:r>
      <w:r>
        <w:t xml:space="preserve">approximately 100% of DeFi but only 25% of DePIN) constrains</w:t>
      </w:r>
      <w:r>
        <w:t xml:space="preserve"> </w:t>
      </w:r>
      <w:r>
        <w:t xml:space="preserve">cross-sector regression analysis. Full source provenance, exclusion</w:t>
      </w:r>
      <w:r>
        <w:t xml:space="preserve"> </w:t>
      </w:r>
      <w:r>
        <w:t xml:space="preserve">methodology, the protocols Token Terminal does not cover, and the</w:t>
      </w:r>
      <w:r>
        <w:t xml:space="preserve"> </w:t>
      </w:r>
      <w:r>
        <w:t xml:space="preserve">resulting partial-data subsets are documented in Supplementary File S6.</w:t>
      </w:r>
    </w:p>
    <w:p>
      <w:pPr>
        <w:pStyle w:val="BodyText"/>
      </w:pPr>
      <w:r>
        <w:t xml:space="preserve">Snapshot date discipline for governance-power data: the Table 6 voting</w:t>
      </w:r>
      <w:r>
        <w:t xml:space="preserve"> </w:t>
      </w:r>
      <w:r>
        <w:t xml:space="preserve">HHI values are computed from a March 2026 snapshot of Tally and</w:t>
      </w:r>
      <w:r>
        <w:t xml:space="preserve"> </w:t>
      </w:r>
      <w:r>
        <w:t xml:space="preserve">Snapshot governance data, consistent with the March 2026 holder-list</w:t>
      </w:r>
      <w:r>
        <w:t xml:space="preserve"> </w:t>
      </w:r>
      <w:r>
        <w:t xml:space="preserve">snapshot used for Table 3 holding HHI. Voting-power distributions can</w:t>
      </w:r>
      <w:r>
        <w:t xml:space="preserve"> </w:t>
      </w:r>
      <w:r>
        <w:t xml:space="preserve">drift materially over multi-month windows: replication runs using fresh</w:t>
      </w:r>
      <w:r>
        <w:t xml:space="preserve"> </w:t>
      </w:r>
      <w:r>
        <w:t xml:space="preserve">Tally and Snapshot data should expect comparable but not identical voting</w:t>
      </w:r>
      <w:r>
        <w:t xml:space="preserve"> </w:t>
      </w:r>
      <w:r>
        <w:t xml:space="preserve">HHI values, and rank ordering across protocols is the more durable</w:t>
      </w:r>
      <w:r>
        <w:t xml:space="preserve"> </w:t>
      </w:r>
      <w:r>
        <w:t xml:space="preserve">inferential property than absolute magnitude. Section 4.6 reports a</w:t>
      </w:r>
      <w:r>
        <w:t xml:space="preserve"> </w:t>
      </w:r>
      <w:r>
        <w:t xml:space="preserve">PCA-symmetric voting-HHI sensitivity check.</w:t>
      </w:r>
    </w:p>
    <w:p>
      <w:pPr>
        <w:pStyle w:val="BodyText"/>
      </w:pPr>
      <w:r>
        <w:rPr>
          <w:b/>
          <w:bCs/>
        </w:rPr>
        <w:t xml:space="preserve">Voting-HHI sampling methodology.</w:t>
      </w:r>
      <w:r>
        <w:t xml:space="preserve"> </w:t>
      </w:r>
      <w:r>
        <w:t xml:space="preserve">The Table 6 voting-HHI column uses</w:t>
      </w:r>
      <w:r>
        <w:t xml:space="preserve"> </w:t>
      </w:r>
      <w:r>
        <w:t xml:space="preserve">comprehensive sampling on both Tally and Snapshot sides: Tally pulls top-1,000</w:t>
      </w:r>
      <w:r>
        <w:t xml:space="preserve"> </w:t>
      </w:r>
      <w:r>
        <w:t xml:space="preserve">delegates per protocol via paginated GraphQL queries (Aave pulled at all-</w:t>
      </w:r>
      <w:r>
        <w:t xml:space="preserve"> </w:t>
      </w:r>
      <w:r>
        <w:t xml:space="preserve">delegates depth N = 150,911 as a methodology-floor sensitivity anchor); Snapshot</w:t>
      </w:r>
      <w:r>
        <w:t xml:space="preserve"> </w:t>
      </w:r>
      <w:r>
        <w:t xml:space="preserve">pulls ALL proposals in the 12-month rolling window 2025-05-22 to 2026-05-22</w:t>
      </w:r>
      <w:r>
        <w:t xml:space="preserve"> </w:t>
      </w:r>
      <w:r>
        <w:t xml:space="preserve">and aggregates unique voters across all proposals weighted by maximum voting</w:t>
      </w:r>
      <w:r>
        <w:t xml:space="preserve"> </w:t>
      </w:r>
      <w:r>
        <w:t xml:space="preserve">power per voter. For high-volume protocols (ARB, COMP, LDO), this comprehensive</w:t>
      </w:r>
      <w:r>
        <w:t xml:space="preserve"> </w:t>
      </w:r>
      <w:r>
        <w:t xml:space="preserve">sampling yields large unique-voter counts (ARB N = 5,466; LDO N = 333;</w:t>
      </w:r>
      <w:r>
        <w:t xml:space="preserve"> </w:t>
      </w:r>
      <w:r>
        <w:t xml:space="preserve">COMP N = 138). Low-volume protocols (DIMO and WeatherXM with 4 or fewer</w:t>
      </w:r>
      <w:r>
        <w:t xml:space="preserve"> </w:t>
      </w:r>
      <w:r>
        <w:t xml:space="preserve">proposals total) experience no methodology-induced N expansion; DIMO N = 10</w:t>
      </w:r>
      <w:r>
        <w:t xml:space="preserve"> </w:t>
      </w:r>
      <w:r>
        <w:t xml:space="preserve">is genuine across the protocol’s entire 12-month proposal history. Solana-</w:t>
      </w:r>
      <w:r>
        <w:t xml:space="preserve"> </w:t>
      </w:r>
      <w:r>
        <w:t xml:space="preserve">native protocols (JUP, HNT, DRIFT) use on-chain governance program parsing</w:t>
      </w:r>
      <w:r>
        <w:t xml:space="preserve"> </w:t>
      </w:r>
      <w:r>
        <w:t xml:space="preserve">because Tally is not deployed for Solana protocols (JUP via Dune</w:t>
      </w:r>
      <w:r>
        <w:t xml:space="preserve"> </w:t>
      </w:r>
      <w:r>
        <w:rPr>
          <w:rStyle w:val="VerbatimChar"/>
        </w:rPr>
        <w:t xml:space="preserve">jupiter_solana.govern_call_setvote</w:t>
      </w:r>
      <w:r>
        <w:t xml:space="preserve"> </w:t>
      </w:r>
      <w:r>
        <w:t xml:space="preserve">per-signer max-weight aggregation;</w:t>
      </w:r>
      <w:r>
        <w:t xml:space="preserve"> </w:t>
      </w:r>
      <w:r>
        <w:t xml:space="preserve">HNT and DRIFT via Helius RPC parsing of SPL Governance VoteRecordV2 accounts).</w:t>
      </w:r>
    </w:p>
    <w:p>
      <w:pPr>
        <w:pStyle w:val="BodyText"/>
      </w:pPr>
      <w:r>
        <w:t xml:space="preserve">The asymmetric capping reflects what each platform’s N represents: Tally caps</w:t>
      </w:r>
      <w:r>
        <w:t xml:space="preserve"> </w:t>
      </w:r>
      <w:r>
        <w:t xml:space="preserve">at top-1,000 to truncate the deadweight long tail of registered-but-inactive</w:t>
      </w:r>
      <w:r>
        <w:t xml:space="preserve"> </w:t>
      </w:r>
      <w:r>
        <w:t xml:space="preserve">delegates (validated as immaterial to HHI by the Aave all-delegates</w:t>
      </w:r>
      <w:r>
        <w:t xml:space="preserve"> </w:t>
      </w:r>
      <w:r>
        <w:t xml:space="preserve">sensitivity anchor at N = 150,911); Snapshot and Solana on-chain N are</w:t>
      </w:r>
      <w:r>
        <w:t xml:space="preserve"> </w:t>
      </w:r>
      <w:r>
        <w:t xml:space="preserve">uncapped because every entry is by construction an active participant within</w:t>
      </w:r>
      <w:r>
        <w:t xml:space="preserve"> </w:t>
      </w:r>
      <w:r>
        <w:t xml:space="preserve">the window, so no analogous truncation is warranted.</w:t>
      </w:r>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r>
        <w:rPr>
          <w:b/>
          <w:bCs/>
          <w:i/>
          <w:iCs/>
        </w:rPr>
        <w:t xml:space="preserve">Table 1.</w:t>
      </w:r>
      <w:r>
        <w:rPr>
          <w:i/>
          <w:iCs/>
        </w:rPr>
        <w:t xml:space="preserve"> </w:t>
      </w:r>
      <w:r>
        <w:rPr>
          <w:i/>
          <w:iCs/>
        </w:rPr>
        <w:t xml:space="preserve">Per-protocol active-voter sample size and methodology source for</w:t>
      </w:r>
      <w:r>
        <w:rPr>
          <w:i/>
          <w:iCs/>
        </w:rPr>
        <w:t xml:space="preserve"> </w:t>
      </w:r>
      <w:r>
        <w:rPr>
          <w:i/>
          <w:iCs/>
        </w:rPr>
        <w:t xml:space="preserve">the Table 6 voting-HHI computation. Source-specific N reflects either Tally</w:t>
      </w:r>
      <w:r>
        <w:rPr>
          <w:i/>
          <w:iCs/>
        </w:rPr>
        <w:t xml:space="preserve"> </w:t>
      </w:r>
      <w:r>
        <w:rPr>
          <w:i/>
          <w:iCs/>
        </w:rPr>
        <w:t xml:space="preserve">delegate-registry depth (top-1,000 ceiling; Aave at all-delegates anchor),</w:t>
      </w:r>
      <w:r>
        <w:rPr>
          <w:i/>
          <w:iCs/>
        </w:rPr>
        <w:t xml:space="preserve"> </w:t>
      </w:r>
      <w:r>
        <w:rPr>
          <w:i/>
          <w:iCs/>
        </w:rPr>
        <w:t xml:space="preserve">Snapshot voter-pool union across the 12-month proposal window, or Solana</w:t>
      </w:r>
      <w:r>
        <w:rPr>
          <w:i/>
          <w:iCs/>
        </w:rPr>
        <w:t xml:space="preserve"> </w:t>
      </w:r>
      <w:r>
        <w:rPr>
          <w:i/>
          <w:iCs/>
        </w:rPr>
        <w:t xml:space="preserve">on-chain governance program parsing.</w:t>
      </w:r>
    </w:p>
    <w:bookmarkEnd w:id="35"/>
    <w:bookmarkStart w:id="37"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 three-tier procedure: Tier 1 uses Blockscout verified-</w:t>
      </w:r>
      <w:r>
        <w:t xml:space="preserve"> </w:t>
      </w:r>
      <w:r>
        <w:t xml:space="preserve">contract labels and Dune exchange tags; Tier 2 uses contract bytecode</w:t>
      </w:r>
      <w:r>
        <w:t xml:space="preserve"> </w:t>
      </w:r>
      <w:r>
        <w:t xml:space="preserve">matching for SafeProxy and GnosisSafe (multi-signature wallets where</w:t>
      </w:r>
      <w:r>
        <w:t xml:space="preserve"> </w:t>
      </w:r>
      <w:r>
        <w:t xml:space="preserve">several authorized parties must each sign a transaction to authorize</w:t>
      </w:r>
      <w:r>
        <w:t xml:space="preserve"> </w:t>
      </w:r>
      <w:r>
        <w:t xml:space="preserve">fund movement, commonly used as protocol treasuries) and vesting</w:t>
      </w:r>
      <w:r>
        <w:t xml:space="preserve"> </w:t>
      </w:r>
      <w:r>
        <w:t xml:space="preserve">contracts; Tier 3 uses Etherscan (an Ethereum blockchain explorer)</w:t>
      </w:r>
      <w:r>
        <w:t xml:space="preserve"> </w:t>
      </w:r>
      <w:r>
        <w:t xml:space="preserve">named-address matching against documented foundation, treasury, and</w:t>
      </w:r>
      <w:r>
        <w:t xml:space="preserve"> </w:t>
      </w:r>
      <w:r>
        <w:t xml:space="preserve">team wallets.</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w:t>
      </w:r>
      <w:r>
        <w:t xml:space="preserve"> </w:t>
      </w:r>
      <w:r>
        <w:t xml:space="preserve">carry an acknowledged labeling gap: io.net classifies as zero of ten</w:t>
      </w:r>
      <w:r>
        <w:t xml:space="preserve"> </w:t>
      </w:r>
      <w:r>
        <w:t xml:space="preserve">insiders because Solana lacks Blockscout-style contract labels at the</w:t>
      </w:r>
      <w:r>
        <w:t xml:space="preserve"> </w:t>
      </w:r>
      <w:r>
        <w:t xml:space="preserve">scale available on Ethereum and EVM (Ethereum Virtual Machine; the execution environment for Ethereum-compatible smart contracts) Layer 2 networks. This is a classification</w:t>
      </w:r>
      <w:r>
        <w:t xml:space="preserve"> </w:t>
      </w:r>
      <w:r>
        <w:t xml:space="preserve">limitation rather than evidence of distributed governance and is flagged</w:t>
      </w:r>
      <w:r>
        <w:t xml:space="preserve"> </w:t>
      </w:r>
      <w:r>
        <w:t xml:space="preserve">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6">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7"/>
    <w:bookmarkStart w:id="38"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6">
        <w:r>
          <w:rPr>
            <w:rStyle w:val="Hyperlink"/>
          </w:rPr>
          <w:t xml:space="preserve">Supplementary File S1</w:t>
        </w:r>
      </w:hyperlink>
      <w:r>
        <w:t xml:space="preserve">.</w:t>
      </w:r>
    </w:p>
    <w:bookmarkEnd w:id="38"/>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9">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2" w:name="X004e8cd687086e736c8a0ea627389197b207e79"/>
    <w:p>
      <w:pPr>
        <w:pStyle w:val="Heading2"/>
      </w:pPr>
      <w:r>
        <w:t xml:space="preserve">3.8 Generalizable Protocol-Controlled-Address (PCA) Exclusion Methodology</w:t>
      </w:r>
    </w:p>
    <w:p>
      <w:pPr>
        <w:pStyle w:val="FirstParagraph"/>
      </w:pPr>
      <w:r>
        <w:t xml:space="preserve">The protocol-controlled-address (PCA) exclusion methodology applied</w:t>
      </w:r>
      <w:r>
        <w:t xml:space="preserve"> </w:t>
      </w:r>
      <w:r>
        <w:t xml:space="preserve">across Sections 3.2 through 3.4 generalizes beyond this paper’s</w:t>
      </w:r>
      <w:r>
        <w:t xml:space="preserve"> </w:t>
      </w:r>
      <w:r>
        <w:t xml:space="preserve">specific protocol set. Any cross-protocol governance HHI analysis on</w:t>
      </w:r>
      <w:r>
        <w:t xml:space="preserve"> </w:t>
      </w:r>
      <w:r>
        <w:t xml:space="preserve">ERC-20 (the Ethereum standard for fungible tokens) or SPL (Solana</w:t>
      </w:r>
      <w:r>
        <w:t xml:space="preserve"> </w:t>
      </w:r>
      <w:r>
        <w:t xml:space="preserve">Program Library; Solana’s analog for fungible tokens) token holders</w:t>
      </w:r>
      <w:r>
        <w:t xml:space="preserve"> </w:t>
      </w:r>
      <w:r>
        <w:t xml:space="preserve">should apply the five PCA classes documented below before computing</w:t>
      </w:r>
      <w:r>
        <w:t xml:space="preserve"> </w:t>
      </w:r>
      <w:r>
        <w:t xml:space="preserve">concentration metrics. The</w:t>
      </w:r>
      <w:r>
        <w:t xml:space="preserve"> </w:t>
      </w:r>
      <w:r>
        <w:t xml:space="preserve">methodology contribution is not just the specific exclusions applied</w:t>
      </w:r>
      <w:r>
        <w:t xml:space="preserve"> </w:t>
      </w:r>
      <w:r>
        <w:t xml:space="preserve">to this paper’s 40-protocol sample (Supplementary File S6 contains</w:t>
      </w:r>
      <w:r>
        <w:t xml:space="preserve"> </w:t>
      </w:r>
      <w:r>
        <w:t xml:space="preserve">the address-by-address documentation), but the generalizable typology</w:t>
      </w:r>
      <w:r>
        <w:t xml:space="preserve"> </w:t>
      </w:r>
      <w:r>
        <w:t xml:space="preserve">that future replication and extension work can apply uniformly.</w:t>
      </w:r>
    </w:p>
    <w:p>
      <w:pPr>
        <w:pStyle w:val="BodyText"/>
      </w:pPr>
      <w:r>
        <w:rPr>
          <w:b/>
          <w:bCs/>
        </w:rPr>
        <w:t xml:space="preserve">Class 1: Burn-destination addresses.</w:t>
      </w:r>
      <w:r>
        <w:t xml:space="preserve"> </w:t>
      </w:r>
      <w:r>
        <w:t xml:space="preserve">Canonical burn addresses</w:t>
      </w:r>
      <w:r>
        <w:t xml:space="preserve"> </w:t>
      </w:r>
      <w:r>
        <w:t xml:space="preserve">(0x000…000 and 0x000…000dead on EVM chains; chain-specific</w:t>
      </w:r>
      <w:r>
        <w:t xml:space="preserve"> </w:t>
      </w:r>
      <w:r>
        <w:t xml:space="preserve">patterns; protocol-specific burn destinations confirmed via official</w:t>
      </w:r>
      <w:r>
        <w:t xml:space="preserve"> </w:t>
      </w:r>
      <w:r>
        <w:t xml:space="preserve">documentation, Blockscout/Etherscan labels, or Alchemy/Arkham labels)</w:t>
      </w:r>
      <w:r>
        <w:t xml:space="preserve"> </w:t>
      </w:r>
      <w:r>
        <w:t xml:space="preserve">should be excluded from governance HHI computation. These addresses</w:t>
      </w:r>
      <w:r>
        <w:t xml:space="preserve"> </w:t>
      </w:r>
      <w:r>
        <w:t xml:space="preserve">hold tokens that are inert by construction and cannot participate in</w:t>
      </w:r>
      <w:r>
        <w:t xml:space="preserve"> </w:t>
      </w:r>
      <w:r>
        <w:t xml:space="preserve">governance under any condition; including them in the holding</w:t>
      </w:r>
      <w:r>
        <w:t xml:space="preserve"> </w:t>
      </w:r>
      <w:r>
        <w:t xml:space="preserve">distribution inflates the holding denominator and understates effective</w:t>
      </w:r>
      <w:r>
        <w:t xml:space="preserve"> </w:t>
      </w:r>
      <w:r>
        <w:t xml:space="preserve">concentration. The Uniswap 0x000…000dead exclusion (102.46M UNI, 11.27</w:t>
      </w:r>
      <w:r>
        <w:t xml:space="preserve"> </w:t>
      </w:r>
      <w:r>
        <w:t xml:space="preserve">percent of supply at measurement) is the canonical case in this paper;</w:t>
      </w:r>
      <w:r>
        <w:t xml:space="preserve"> </w:t>
      </w:r>
      <w:r>
        <w:t xml:space="preserve">the Hyperliquid burn-pattern addresses (0x222…222 and 0xfefe…fefe)</w:t>
      </w:r>
      <w:r>
        <w:t xml:space="preserve"> </w:t>
      </w:r>
      <w:r>
        <w:t xml:space="preserve">were caught by a confirmed-pattern methodology. The universal</w:t>
      </w:r>
      <w:r>
        <w:t xml:space="preserve"> </w:t>
      </w:r>
      <w:r>
        <w:t xml:space="preserve">burn-rule applied here is generalizable to any ERC-20 or SPL token</w:t>
      </w:r>
      <w:r>
        <w:t xml:space="preserve"> </w:t>
      </w:r>
      <w:r>
        <w:t xml:space="preserve">governance analysis.</w:t>
      </w:r>
    </w:p>
    <w:p>
      <w:pPr>
        <w:pStyle w:val="BodyText"/>
      </w:pPr>
      <w:r>
        <w:rPr>
          <w:b/>
          <w:bCs/>
        </w:rPr>
        <w:t xml:space="preserve">Class 2: Foundation and treasury custody.</w:t>
      </w:r>
      <w:r>
        <w:t xml:space="preserve"> </w:t>
      </w:r>
      <w:r>
        <w:t xml:space="preserve">Protocol-controlled</w:t>
      </w:r>
      <w:r>
        <w:t xml:space="preserve"> </w:t>
      </w:r>
      <w:r>
        <w:t xml:space="preserve">foundation and treasury custody addresses should be excluded. These</w:t>
      </w:r>
      <w:r>
        <w:t xml:space="preserve"> </w:t>
      </w:r>
      <w:r>
        <w:t xml:space="preserve">addresses hold tokens that are governance-relevant in principle (the</w:t>
      </w:r>
      <w:r>
        <w:t xml:space="preserve"> </w:t>
      </w:r>
      <w:r>
        <w:t xml:space="preserve">foundation may delegate or vote with them) but are structurally</w:t>
      </w:r>
      <w:r>
        <w:t xml:space="preserve"> </w:t>
      </w:r>
      <w:r>
        <w:t xml:space="preserve">distinct from independent holder concentration: the foundation</w:t>
      </w:r>
      <w:r>
        <w:t xml:space="preserve"> </w:t>
      </w:r>
      <w:r>
        <w:t xml:space="preserve">position represents institutional rather than community ownership.</w:t>
      </w:r>
      <w:r>
        <w:t xml:space="preserve"> </w:t>
      </w:r>
      <w:r>
        <w:t xml:space="preserve">Specific cases in this paper: Optimism Foundation GnosisSafe</w:t>
      </w:r>
      <w:r>
        <w:t xml:space="preserve"> </w:t>
      </w:r>
      <w:r>
        <w:t xml:space="preserve">(0x2a82ae142…; 32 percent of pre-exclusion top-1000 OP); Arbitrum</w:t>
      </w:r>
      <w:r>
        <w:t xml:space="preserve"> </w:t>
      </w:r>
      <w:r>
        <w:t xml:space="preserve">FixedDelegateErc20Wallet (0xf3fc178157…; 30 percent of pre-exclusion</w:t>
      </w:r>
      <w:r>
        <w:t xml:space="preserve"> </w:t>
      </w:r>
      <w:r>
        <w:t xml:space="preserve">top-1000 ARB); WeatherXM treasury (74.8 percent of pre-exclusion</w:t>
      </w:r>
      <w:r>
        <w:t xml:space="preserve"> </w:t>
      </w:r>
      <w:r>
        <w:t xml:space="preserve">top-1000 WXM); DIMO Foundation (52.3 percent of pre-exclusion top-1000</w:t>
      </w:r>
      <w:r>
        <w:t xml:space="preserve"> </w:t>
      </w:r>
      <w:r>
        <w:t xml:space="preserve">DIMO). The methodology requires per-protocol identification typically</w:t>
      </w:r>
      <w:r>
        <w:t xml:space="preserve"> </w:t>
      </w:r>
      <w:r>
        <w:t xml:space="preserve">via Blockscout verified-contract labels, GnosisSafeProxyFactory creation</w:t>
      </w:r>
      <w:r>
        <w:t xml:space="preserve"> </w:t>
      </w:r>
      <w:r>
        <w:t xml:space="preserve">records, or foundation disclosures.</w:t>
      </w:r>
    </w:p>
    <w:p>
      <w:pPr>
        <w:pStyle w:val="BodyText"/>
      </w:pPr>
      <w:r>
        <w:rPr>
          <w:b/>
          <w:bCs/>
        </w:rPr>
        <w:t xml:space="preserve">Class 3: Staking-aggregation contracts.</w:t>
      </w:r>
      <w:r>
        <w:t xml:space="preserve"> </w:t>
      </w:r>
      <w:r>
        <w:t xml:space="preserve">Staking contracts that</w:t>
      </w:r>
      <w:r>
        <w:t xml:space="preserve"> </w:t>
      </w:r>
      <w:r>
        <w:t xml:space="preserve">aggregate underlying staker holdings into a single custody address</w:t>
      </w:r>
      <w:r>
        <w:t xml:space="preserve"> </w:t>
      </w:r>
      <w:r>
        <w:t xml:space="preserve">should be excluded from holding HHI computation, with the caveat that</w:t>
      </w:r>
      <w:r>
        <w:t xml:space="preserve"> </w:t>
      </w:r>
      <w:r>
        <w:t xml:space="preserve">underlying stakers retain pass-through voting power. The stkAAVE</w:t>
      </w:r>
      <w:r>
        <w:t xml:space="preserve"> </w:t>
      </w:r>
      <w:r>
        <w:t xml:space="preserve">staking contract (0x4da27a545c0c…; 21.9 percent of post-PCA-exclusion</w:t>
      </w:r>
      <w:r>
        <w:t xml:space="preserve"> </w:t>
      </w:r>
      <w:r>
        <w:t xml:space="preserve">top-1000 AAVE) is the canonical case; AAVE stakers vote through</w:t>
      </w:r>
      <w:r>
        <w:t xml:space="preserve"> </w:t>
      </w:r>
      <w:r>
        <w:t xml:space="preserve">stkAAVE rather than the contract itself making governance decisions.</w:t>
      </w:r>
      <w:r>
        <w:t xml:space="preserve"> </w:t>
      </w:r>
      <w:r>
        <w:t xml:space="preserve">The sGMX RewardTracker plays an analogous role for GMX. The exclusion</w:t>
      </w:r>
      <w:r>
        <w:t xml:space="preserve"> </w:t>
      </w:r>
      <w:r>
        <w:t xml:space="preserve">is methodologically warranted at the holding-HHI computation step</w:t>
      </w:r>
      <w:r>
        <w:t xml:space="preserve"> </w:t>
      </w:r>
      <w:r>
        <w:t xml:space="preserve">because the contract is not an independent governance participant;</w:t>
      </w:r>
      <w:r>
        <w:t xml:space="preserve"> </w:t>
      </w:r>
      <w:r>
        <w:t xml:space="preserve">the exclusion at the voting-HHI computation step (Section 4.6</w:t>
      </w:r>
      <w:r>
        <w:t xml:space="preserve"> </w:t>
      </w:r>
      <w:r>
        <w:t xml:space="preserve">PCA-symmetric robustness check) is methodologically distinct: stkAAVE</w:t>
      </w:r>
      <w:r>
        <w:t xml:space="preserve"> </w:t>
      </w:r>
      <w:r>
        <w:t xml:space="preserve">votes as a single delegate per Tally’s data model, even though the</w:t>
      </w:r>
      <w:r>
        <w:t xml:space="preserve"> </w:t>
      </w:r>
      <w:r>
        <w:t xml:space="preserve">underlying voters are dispersed. The paper treats the holding-side</w:t>
      </w:r>
      <w:r>
        <w:t xml:space="preserve"> </w:t>
      </w:r>
      <w:r>
        <w:t xml:space="preserve">exclusion as canonical and reports the voting-side exclusion as a</w:t>
      </w:r>
      <w:r>
        <w:t xml:space="preserve"> </w:t>
      </w:r>
      <w:r>
        <w:t xml:space="preserve">sensitivity check.</w:t>
      </w:r>
    </w:p>
    <w:p>
      <w:pPr>
        <w:pStyle w:val="BodyText"/>
      </w:pPr>
      <w:r>
        <w:rPr>
          <w:b/>
          <w:bCs/>
        </w:rPr>
        <w:t xml:space="preserve">Class 4: Bridge custody and migration addresses.</w:t>
      </w:r>
      <w:r>
        <w:t xml:space="preserve"> </w:t>
      </w:r>
      <w:r>
        <w:t xml:space="preserve">Bridge custody</w:t>
      </w:r>
      <w:r>
        <w:t xml:space="preserve"> </w:t>
      </w:r>
      <w:r>
        <w:t xml:space="preserve">addresses (Wormhole token bridge for cross-chain wrapped tokens; the</w:t>
      </w:r>
      <w:r>
        <w:t xml:space="preserve"> </w:t>
      </w:r>
      <w:r>
        <w:t xml:space="preserve">GRT BridgeEscrow for L1-to-Arbitrum custody; LayerZero canonical</w:t>
      </w:r>
      <w:r>
        <w:t xml:space="preserve"> </w:t>
      </w:r>
      <w:r>
        <w:t xml:space="preserve">bridges) hold tokens in transit or as cross-chain accounting positions;</w:t>
      </w:r>
      <w:r>
        <w:t xml:space="preserve"> </w:t>
      </w:r>
      <w:r>
        <w:t xml:space="preserve">these are not governance-participating holders. Migration contracts</w:t>
      </w:r>
      <w:r>
        <w:t xml:space="preserve"> </w:t>
      </w:r>
      <w:r>
        <w:t xml:space="preserve">(the SYRUP Migrator for MPL-to-SYRUP migration; the Polygon</w:t>
      </w:r>
      <w:r>
        <w:t xml:space="preserve"> </w:t>
      </w:r>
      <w:r>
        <w:t xml:space="preserve">StakeManagerProxy for MATIC-to-POL transition) hold tokens during</w:t>
      </w:r>
      <w:r>
        <w:t xml:space="preserve"> </w:t>
      </w:r>
      <w:r>
        <w:t xml:space="preserve">migration windows and should be excluded.</w:t>
      </w:r>
    </w:p>
    <w:p>
      <w:pPr>
        <w:pStyle w:val="BodyText"/>
      </w:pPr>
      <w:r>
        <w:rPr>
          <w:b/>
          <w:bCs/>
        </w:rPr>
        <w:t xml:space="preserve">Class 5: Centralized exchange custody.</w:t>
      </w:r>
      <w:r>
        <w:t xml:space="preserve"> </w:t>
      </w:r>
      <w:r>
        <w:t xml:space="preserve">Centralized exchange (CEX)</w:t>
      </w:r>
      <w:r>
        <w:t xml:space="preserve"> </w:t>
      </w:r>
      <w:r>
        <w:t xml:space="preserve">hot and cold wallets that custody customer deposits should be</w:t>
      </w:r>
      <w:r>
        <w:t xml:space="preserve"> </w:t>
      </w:r>
      <w:r>
        <w:t xml:space="preserve">excluded from governance HHI computation. Customer-deposited tokens</w:t>
      </w:r>
      <w:r>
        <w:t xml:space="preserve"> </w:t>
      </w:r>
      <w:r>
        <w:t xml:space="preserve">held in CEX custody are not governance-participating holdings: the</w:t>
      </w:r>
      <w:r>
        <w:t xml:space="preserve"> </w:t>
      </w:r>
      <w:r>
        <w:t xml:space="preserve">exchange holds custody of tokens belonging to many individual</w:t>
      </w:r>
      <w:r>
        <w:t xml:space="preserve"> </w:t>
      </w:r>
      <w:r>
        <w:t xml:space="preserve">customers, and exchange operational practice is to abstain from</w:t>
      </w:r>
      <w:r>
        <w:t xml:space="preserve"> </w:t>
      </w:r>
      <w:r>
        <w:t xml:space="preserve">governance voting on customer-held tokens. Specific cases in this</w:t>
      </w:r>
      <w:r>
        <w:t xml:space="preserve"> </w:t>
      </w:r>
      <w:r>
        <w:t xml:space="preserve">paper: Binance hot wallets across OP, ENS, GRT, AAVE, COMP, UNI,</w:t>
      </w:r>
      <w:r>
        <w:t xml:space="preserve"> </w:t>
      </w:r>
      <w:r>
        <w:t xml:space="preserve">ARB, and other protocols (the canonical Binance address</w:t>
      </w:r>
      <w:r>
        <w:t xml:space="preserve"> </w:t>
      </w:r>
      <w:r>
        <w:t xml:space="preserve">0xf977…41acec is the most common case); Bithumb 162</w:t>
      </w:r>
      <w:r>
        <w:t xml:space="preserve"> </w:t>
      </w:r>
      <w:r>
        <w:t xml:space="preserve">(0x54d1…22cbf9) and Upbit 59 (0x377b…190873) on AXL; analogous</w:t>
      </w:r>
      <w:r>
        <w:t xml:space="preserve"> </w:t>
      </w:r>
      <w:r>
        <w:t xml:space="preserve">patterns on other protocols. CEX address identification relies on</w:t>
      </w:r>
      <w:r>
        <w:t xml:space="preserve"> </w:t>
      </w:r>
      <w:r>
        <w:t xml:space="preserve">public name tags (Etherscan, Arkham, hildobby compilations) and</w:t>
      </w:r>
      <w:r>
        <w:t xml:space="preserve"> </w:t>
      </w:r>
      <w:r>
        <w:t xml:space="preserve">behavioral signals (high transfer volume, many counterparties, no</w:t>
      </w:r>
      <w:r>
        <w:t xml:space="preserve"> </w:t>
      </w:r>
      <w:r>
        <w:t xml:space="preserve">governance participation history).</w:t>
      </w:r>
    </w:p>
    <w:p>
      <w:pPr>
        <w:pStyle w:val="BodyText"/>
      </w:pPr>
      <w:r>
        <w:t xml:space="preserve">Across the five classes, this paper applies 133 PCA exclusions across</w:t>
      </w:r>
      <w:r>
        <w:t xml:space="preserve"> </w:t>
      </w:r>
      <w:r>
        <w:t xml:space="preserve">38 protocols (Supplementary File S6 and the supplementary exclusions</w:t>
      </w:r>
      <w:r>
        <w:t xml:space="preserve"> </w:t>
      </w:r>
      <w:r>
        <w:t xml:space="preserve">log dataset). The generalizable methodological</w:t>
      </w:r>
      <w:r>
        <w:t xml:space="preserve"> </w:t>
      </w:r>
      <w:r>
        <w:t xml:space="preserve">contribution: any future cross-protocol governance HHI analysis should</w:t>
      </w:r>
      <w:r>
        <w:t xml:space="preserve"> </w:t>
      </w:r>
      <w:r>
        <w:t xml:space="preserve">apply the five-class PCA exclusion uniformly before reporting holding</w:t>
      </w:r>
      <w:r>
        <w:t xml:space="preserve"> </w:t>
      </w:r>
      <w:r>
        <w:t xml:space="preserve">concentration metrics. The specific addresses depend on the protocol</w:t>
      </w:r>
      <w:r>
        <w:t xml:space="preserve"> </w:t>
      </w:r>
      <w:r>
        <w:t xml:space="preserve">sample; the methodology is sample-independent.</w:t>
      </w:r>
    </w:p>
    <w:bookmarkEnd w:id="42"/>
    <w:bookmarkEnd w:id="43"/>
    <w:bookmarkStart w:id="77" w:name="results"/>
    <w:p>
      <w:pPr>
        <w:pStyle w:val="Heading1"/>
      </w:pPr>
      <w:r>
        <w:t xml:space="preserve">4 Results</w:t>
      </w:r>
    </w:p>
    <w:bookmarkStart w:id="44" w:name="scope-and-claims-boundary"/>
    <w:p>
      <w:pPr>
        <w:pStyle w:val="Heading2"/>
      </w:pPr>
      <w:r>
        <w:t xml:space="preserve">4.1 Scope and Claims Boundary</w:t>
      </w:r>
    </w:p>
    <w:p>
      <w:pPr>
        <w:pStyle w:val="FirstParagraph"/>
      </w:pPr>
      <w:r>
        <w:t xml:space="preserve">The cross-section covers 40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r>
        <w:t xml:space="preserve">PCA exclusion corrects systematic HHI inflation Methodological Section 3.8; S6</w:t>
      </w:r>
    </w:p>
    <w:p>
      <w:pPr>
        <w:pStyle w:val="BodyText"/>
      </w:pPr>
      <w:r>
        <w:t xml:space="preserve">Allocation null with insider-retention contrast Descriptive Section 4.4; Table 4</w:t>
      </w:r>
    </w:p>
    <w:p>
      <w:pPr>
        <w:pStyle w:val="BodyText"/>
      </w:pPr>
      <w:r>
        <w:t xml:space="preserve">DePIN concentration exceeds DeFi after correction Descriptive Section 4.3; Table 5</w:t>
      </w:r>
    </w:p>
    <w:p>
      <w:pPr>
        <w:pStyle w:val="BodyText"/>
      </w:pPr>
      <w:r>
        <w:t xml:space="preserve">Delegation often amplifies voting above holdings Descriptive Section 4.5; Table 6</w:t>
      </w:r>
    </w:p>
    <w:p>
      <w:pPr>
        <w:pStyle w:val="BodyText"/>
      </w:pPr>
      <w:r>
        <w:t xml:space="preserve">Subsidy association is Livepeer-driven only Descriptive (null) Section 4.4; S8</w:t>
      </w:r>
      <w:r>
        <w:t xml:space="preserve"> </w:t>
      </w:r>
      <w:r>
        <w:t xml:space="preserve">—————————————————————————————————</w:t>
      </w:r>
    </w:p>
    <w:p>
      <w:pPr>
        <w:pStyle w:val="BodyText"/>
      </w:pPr>
      <w:r>
        <w:rPr>
          <w:b/>
          <w:bCs/>
          <w:i/>
          <w:iCs/>
        </w:rPr>
        <w:t xml:space="preserve">Table 2.</w:t>
      </w:r>
      <w:r>
        <w:rPr>
          <w:i/>
          <w:iCs/>
        </w:rPr>
        <w:t xml:space="preserve"> </w:t>
      </w:r>
      <w:r>
        <w:rPr>
          <w:i/>
          <w:iCs/>
        </w:rPr>
        <w:t xml:space="preserve">Claims boundary: what this paper does and does not claim.</w:t>
      </w:r>
    </w:p>
    <w:bookmarkEnd w:id="44"/>
    <w:bookmarkStart w:id="48"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40-protocol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9251"/>
            <wp:effectExtent b="0" l="0" r="0" t="0"/>
            <wp:docPr descr="" title="" id="46" name="Picture"/>
            <a:graphic>
              <a:graphicData uri="http://schemas.openxmlformats.org/drawingml/2006/picture">
                <pic:pic>
                  <pic:nvPicPr>
                    <pic:cNvPr descr="media/fig3_hhi_bar_40protocols.png" id="47" name="Picture"/>
                    <pic:cNvPicPr>
                      <a:picLocks noChangeArrowheads="1" noChangeAspect="1"/>
                    </pic:cNvPicPr>
                  </pic:nvPicPr>
                  <pic:blipFill>
                    <a:blip r:embed="rId45"/>
                    <a:stretch>
                      <a:fillRect/>
                    </a:stretch>
                  </pic:blipFill>
                  <pic:spPr bwMode="auto">
                    <a:xfrm>
                      <a:off x="0" y="0"/>
                      <a:ext cx="5334000" cy="6139251"/>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Holding-based HHI across 40 governance tokens (March 2026 snapshot; top-1,000 holders; 133 protocol-controlled addresses excluded across 38 protocols per Section 3.8 five-class typology). Bars colored by category (DeFi orange; DePIN blue; L1/L2 Infrastructure green; Social grey); sorted by category then HHI ascending. Dashed vertical line at 0.25 marks the antitrust concentration threshold. Highest HHIs cluster in DePIN (Livepeer 0.199; WeatherXM 0.148; io.net 0.125; Aethir 0.095); DeFi and L1/L2 protocols sit predominantly below 0.05.</w:t>
      </w:r>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w:t>
      </w:r>
      <w:r>
        <w:t xml:space="preserve"> </w:t>
      </w:r>
      <w:hyperlink r:id="rId33">
        <w:r>
          <w:rPr>
            <w:rStyle w:val="Hyperlink"/>
          </w:rPr>
          <w:t xml:space="preserve">Supplementary File S6</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0.018</w:t>
            </w:r>
          </w:p>
        </w:tc>
        <w:tc>
          <w:tcPr/>
          <w:p>
            <w:pPr>
              <w:pStyle w:val="Compact"/>
              <w:jc w:val="left"/>
            </w:pPr>
            <w:r>
              <w:t xml:space="preserve">0.91</w:t>
            </w:r>
          </w:p>
        </w:tc>
        <w:tc>
          <w:tcPr/>
          <w:p>
            <w:pPr>
              <w:pStyle w:val="Compact"/>
              <w:jc w:val="left"/>
            </w:pPr>
            <w:r>
              <w:t xml:space="preserve">5.7%</w:t>
            </w:r>
          </w:p>
        </w:tc>
        <w:tc>
          <w:tcPr/>
          <w:p>
            <w:pPr>
              <w:pStyle w:val="Compact"/>
              <w:jc w:val="left"/>
            </w:pPr>
            <w:r>
              <w:t xml:space="preserve">31.1%</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0.0268</w:t>
            </w:r>
          </w:p>
        </w:tc>
        <w:tc>
          <w:tcPr/>
          <w:p>
            <w:pPr>
              <w:pStyle w:val="Compact"/>
              <w:jc w:val="left"/>
            </w:pPr>
            <w:r>
              <w:t xml:space="preserve">0.88</w:t>
            </w:r>
          </w:p>
        </w:tc>
        <w:tc>
          <w:tcPr/>
          <w:p>
            <w:pPr>
              <w:pStyle w:val="Compact"/>
              <w:jc w:val="left"/>
            </w:pPr>
            <w:r>
              <w:t xml:space="preserve">9.9%</w:t>
            </w:r>
          </w:p>
        </w:tc>
        <w:tc>
          <w:tcPr/>
          <w:p>
            <w:pPr>
              <w:pStyle w:val="Compact"/>
              <w:jc w:val="left"/>
            </w:pPr>
            <w:r>
              <w:t xml:space="preserve">43.1%</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0.0128</w:t>
            </w:r>
          </w:p>
        </w:tc>
        <w:tc>
          <w:tcPr/>
          <w:p>
            <w:pPr>
              <w:pStyle w:val="Compact"/>
              <w:jc w:val="left"/>
            </w:pPr>
            <w:r>
              <w:t xml:space="preserve">0.71</w:t>
            </w:r>
          </w:p>
        </w:tc>
        <w:tc>
          <w:tcPr/>
          <w:p>
            <w:pPr>
              <w:pStyle w:val="Compact"/>
              <w:jc w:val="left"/>
            </w:pPr>
            <w:r>
              <w:t xml:space="preserve">4.7%</w:t>
            </w:r>
          </w:p>
        </w:tc>
        <w:tc>
          <w:tcPr/>
          <w:p>
            <w:pPr>
              <w:pStyle w:val="Compact"/>
              <w:jc w:val="left"/>
            </w:pPr>
            <w:r>
              <w:t xml:space="preserve">30.1%</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0.0745</w:t>
            </w:r>
          </w:p>
        </w:tc>
        <w:tc>
          <w:tcPr/>
          <w:p>
            <w:pPr>
              <w:pStyle w:val="Compact"/>
              <w:jc w:val="left"/>
            </w:pPr>
            <w:r>
              <w:t xml:space="preserve">0.98</w:t>
            </w:r>
          </w:p>
        </w:tc>
        <w:tc>
          <w:tcPr/>
          <w:p>
            <w:pPr>
              <w:pStyle w:val="Compact"/>
              <w:jc w:val="left"/>
            </w:pPr>
            <w:r>
              <w:t xml:space="preserve">16.5%</w:t>
            </w:r>
          </w:p>
        </w:tc>
        <w:tc>
          <w:tcPr/>
          <w:p>
            <w:pPr>
              <w:pStyle w:val="Compact"/>
              <w:jc w:val="left"/>
            </w:pPr>
            <w:r>
              <w:t xml:space="preserve">76.4%</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0.1251</w:t>
            </w:r>
          </w:p>
        </w:tc>
        <w:tc>
          <w:tcPr/>
          <w:p>
            <w:pPr>
              <w:pStyle w:val="Compact"/>
              <w:jc w:val="left"/>
            </w:pPr>
            <w:r>
              <w:t xml:space="preserve">0.94</w:t>
            </w:r>
          </w:p>
        </w:tc>
        <w:tc>
          <w:tcPr/>
          <w:p>
            <w:pPr>
              <w:pStyle w:val="Compact"/>
              <w:jc w:val="left"/>
            </w:pPr>
            <w:r>
              <w:t xml:space="preserve">33.5%</w:t>
            </w:r>
          </w:p>
        </w:tc>
        <w:tc>
          <w:tcPr/>
          <w:p>
            <w:pPr>
              <w:pStyle w:val="Compact"/>
              <w:jc w:val="left"/>
            </w:pPr>
            <w:r>
              <w:t xml:space="preserve">61.2%</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0.0948</w:t>
            </w:r>
          </w:p>
        </w:tc>
        <w:tc>
          <w:tcPr/>
          <w:p>
            <w:pPr>
              <w:pStyle w:val="Compact"/>
              <w:jc w:val="left"/>
            </w:pPr>
            <w:r>
              <w:t xml:space="preserve">0.94</w:t>
            </w:r>
          </w:p>
        </w:tc>
        <w:tc>
          <w:tcPr/>
          <w:p>
            <w:pPr>
              <w:pStyle w:val="Compact"/>
              <w:jc w:val="left"/>
            </w:pPr>
            <w:r>
              <w:t xml:space="preserve">19.7%</w:t>
            </w:r>
          </w:p>
        </w:tc>
        <w:tc>
          <w:tcPr/>
          <w:p>
            <w:pPr>
              <w:pStyle w:val="Compact"/>
              <w:jc w:val="left"/>
            </w:pPr>
            <w:r>
              <w:t xml:space="preserve">67.6%</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3.1%</w:t>
            </w:r>
          </w:p>
        </w:tc>
        <w:tc>
          <w:tcPr/>
          <w:p>
            <w:pPr>
              <w:pStyle w:val="Compact"/>
              <w:jc w:val="left"/>
            </w:pPr>
            <w:r>
              <w:t xml:space="preserve">18.6%</w:t>
            </w:r>
          </w:p>
        </w:tc>
        <w:tc>
          <w:tcPr/>
          <w:p>
            <w:pPr>
              <w:pStyle w:val="Compact"/>
              <w:jc w:val="left"/>
            </w:pPr>
            <w:r>
              <w:t xml:space="preserve">1009</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0.0242</w:t>
            </w:r>
          </w:p>
        </w:tc>
        <w:tc>
          <w:tcPr/>
          <w:p>
            <w:pPr>
              <w:pStyle w:val="Compact"/>
              <w:jc w:val="left"/>
            </w:pPr>
            <w:r>
              <w:t xml:space="preserve">0.88</w:t>
            </w:r>
          </w:p>
        </w:tc>
        <w:tc>
          <w:tcPr/>
          <w:p>
            <w:pPr>
              <w:pStyle w:val="Compact"/>
              <w:jc w:val="left"/>
            </w:pPr>
            <w:r>
              <w:t xml:space="preserve">8.5%</w:t>
            </w:r>
          </w:p>
        </w:tc>
        <w:tc>
          <w:tcPr/>
          <w:p>
            <w:pPr>
              <w:pStyle w:val="Compact"/>
              <w:jc w:val="left"/>
            </w:pPr>
            <w:r>
              <w:t xml:space="preserve">40.6%</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0.0092</w:t>
            </w:r>
          </w:p>
        </w:tc>
        <w:tc>
          <w:tcPr/>
          <w:p>
            <w:pPr>
              <w:pStyle w:val="Compact"/>
              <w:jc w:val="left"/>
            </w:pPr>
            <w:r>
              <w:t xml:space="preserve">0.84</w:t>
            </w:r>
          </w:p>
        </w:tc>
        <w:tc>
          <w:tcPr/>
          <w:p>
            <w:pPr>
              <w:pStyle w:val="Compact"/>
              <w:jc w:val="left"/>
            </w:pPr>
            <w:r>
              <w:t xml:space="preserve">3.5%</w:t>
            </w:r>
          </w:p>
        </w:tc>
        <w:tc>
          <w:tcPr/>
          <w:p>
            <w:pPr>
              <w:pStyle w:val="Compact"/>
              <w:jc w:val="left"/>
            </w:pPr>
            <w:r>
              <w:t xml:space="preserve">20.8%</w:t>
            </w:r>
          </w:p>
        </w:tc>
        <w:tc>
          <w:tcPr/>
          <w:p>
            <w:pPr>
              <w:pStyle w:val="Compact"/>
              <w:jc w:val="left"/>
            </w:pPr>
            <w:r>
              <w:t xml:space="preserve">1005</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0.0392</w:t>
            </w:r>
          </w:p>
        </w:tc>
        <w:tc>
          <w:tcPr/>
          <w:p>
            <w:pPr>
              <w:pStyle w:val="Compact"/>
              <w:jc w:val="left"/>
            </w:pPr>
            <w:r>
              <w:t xml:space="preserve">0.87</w:t>
            </w:r>
          </w:p>
        </w:tc>
        <w:tc>
          <w:tcPr/>
          <w:p>
            <w:pPr>
              <w:pStyle w:val="Compact"/>
              <w:jc w:val="left"/>
            </w:pPr>
            <w:r>
              <w:t xml:space="preserve">11.5%</w:t>
            </w:r>
          </w:p>
        </w:tc>
        <w:tc>
          <w:tcPr/>
          <w:p>
            <w:pPr>
              <w:pStyle w:val="Compact"/>
              <w:jc w:val="left"/>
            </w:pPr>
            <w:r>
              <w:t xml:space="preserve">52.7%</w:t>
            </w:r>
          </w:p>
        </w:tc>
        <w:tc>
          <w:tcPr/>
          <w:p>
            <w:pPr>
              <w:pStyle w:val="Compact"/>
              <w:jc w:val="left"/>
            </w:pPr>
            <w:r>
              <w:t xml:space="preserve">1002</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4.3%</w:t>
            </w:r>
          </w:p>
        </w:tc>
        <w:tc>
          <w:tcPr/>
          <w:p>
            <w:pPr>
              <w:pStyle w:val="Compact"/>
              <w:jc w:val="left"/>
            </w:pPr>
            <w:r>
              <w:t xml:space="preserve">27.7%</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0.0529</w:t>
            </w:r>
          </w:p>
        </w:tc>
        <w:tc>
          <w:tcPr/>
          <w:p>
            <w:pPr>
              <w:pStyle w:val="Compact"/>
              <w:jc w:val="left"/>
            </w:pPr>
            <w:r>
              <w:t xml:space="preserve">0.92</w:t>
            </w:r>
          </w:p>
        </w:tc>
        <w:tc>
          <w:tcPr/>
          <w:p>
            <w:pPr>
              <w:pStyle w:val="Compact"/>
              <w:jc w:val="left"/>
            </w:pPr>
            <w:r>
              <w:t xml:space="preserve">19.3%</w:t>
            </w:r>
          </w:p>
        </w:tc>
        <w:tc>
          <w:tcPr/>
          <w:p>
            <w:pPr>
              <w:pStyle w:val="Compact"/>
              <w:jc w:val="left"/>
            </w:pPr>
            <w:r>
              <w:t xml:space="preserve">49.1%</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0.0957</w:t>
            </w:r>
          </w:p>
        </w:tc>
        <w:tc>
          <w:tcPr/>
          <w:p>
            <w:pPr>
              <w:pStyle w:val="Compact"/>
              <w:jc w:val="left"/>
            </w:pPr>
            <w:r>
              <w:t xml:space="preserve">0.98</w:t>
            </w:r>
          </w:p>
        </w:tc>
        <w:tc>
          <w:tcPr/>
          <w:p>
            <w:pPr>
              <w:pStyle w:val="Compact"/>
              <w:jc w:val="left"/>
            </w:pPr>
            <w:r>
              <w:t xml:space="preserve">26.0%</w:t>
            </w:r>
          </w:p>
        </w:tc>
        <w:tc>
          <w:tcPr/>
          <w:p>
            <w:pPr>
              <w:pStyle w:val="Compact"/>
              <w:jc w:val="left"/>
            </w:pPr>
            <w:r>
              <w:t xml:space="preserve">69.3%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0.0144</w:t>
            </w:r>
          </w:p>
        </w:tc>
        <w:tc>
          <w:tcPr/>
          <w:p>
            <w:pPr>
              <w:pStyle w:val="Compact"/>
              <w:jc w:val="left"/>
            </w:pPr>
            <w:r>
              <w:t xml:space="preserve">0.79</w:t>
            </w:r>
          </w:p>
        </w:tc>
        <w:tc>
          <w:tcPr/>
          <w:p>
            <w:pPr>
              <w:pStyle w:val="Compact"/>
              <w:jc w:val="left"/>
            </w:pPr>
            <w:r>
              <w:t xml:space="preserve">6.6%</w:t>
            </w:r>
          </w:p>
        </w:tc>
        <w:tc>
          <w:tcPr/>
          <w:p>
            <w:pPr>
              <w:pStyle w:val="Compact"/>
              <w:jc w:val="left"/>
            </w:pPr>
            <w:r>
              <w:t xml:space="preserve">31.2%</w:t>
            </w:r>
          </w:p>
        </w:tc>
        <w:tc>
          <w:tcPr/>
          <w:p>
            <w:pPr>
              <w:pStyle w:val="Compact"/>
              <w:jc w:val="left"/>
            </w:pPr>
            <w:r>
              <w:t xml:space="preserve">1010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0.0268</w:t>
            </w:r>
          </w:p>
        </w:tc>
        <w:tc>
          <w:tcPr/>
          <w:p>
            <w:pPr>
              <w:pStyle w:val="Compact"/>
              <w:jc w:val="left"/>
            </w:pPr>
            <w:r>
              <w:t xml:space="preserve">0.85</w:t>
            </w:r>
          </w:p>
        </w:tc>
        <w:tc>
          <w:tcPr/>
          <w:p>
            <w:pPr>
              <w:pStyle w:val="Compact"/>
              <w:jc w:val="left"/>
            </w:pPr>
            <w:r>
              <w:t xml:space="preserve">9.0%</w:t>
            </w:r>
          </w:p>
        </w:tc>
        <w:tc>
          <w:tcPr/>
          <w:p>
            <w:pPr>
              <w:pStyle w:val="Compact"/>
              <w:jc w:val="left"/>
            </w:pPr>
            <w:r>
              <w:t xml:space="preserve">41.7%</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0.0115</w:t>
            </w:r>
          </w:p>
        </w:tc>
        <w:tc>
          <w:tcPr/>
          <w:p>
            <w:pPr>
              <w:pStyle w:val="Compact"/>
              <w:jc w:val="left"/>
            </w:pPr>
            <w:r>
              <w:t xml:space="preserve">0.86</w:t>
            </w:r>
          </w:p>
        </w:tc>
        <w:tc>
          <w:tcPr/>
          <w:p>
            <w:pPr>
              <w:pStyle w:val="Compact"/>
              <w:jc w:val="left"/>
            </w:pPr>
            <w:r>
              <w:t xml:space="preserve">7.0%</w:t>
            </w:r>
          </w:p>
        </w:tc>
        <w:tc>
          <w:tcPr/>
          <w:p>
            <w:pPr>
              <w:pStyle w:val="Compact"/>
              <w:jc w:val="left"/>
            </w:pPr>
            <w:r>
              <w:t xml:space="preserve">19.0%</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0.0348</w:t>
            </w:r>
          </w:p>
        </w:tc>
        <w:tc>
          <w:tcPr/>
          <w:p>
            <w:pPr>
              <w:pStyle w:val="Compact"/>
              <w:jc w:val="left"/>
            </w:pPr>
            <w:r>
              <w:t xml:space="preserve">0.92</w:t>
            </w:r>
          </w:p>
        </w:tc>
        <w:tc>
          <w:tcPr/>
          <w:p>
            <w:pPr>
              <w:pStyle w:val="Compact"/>
              <w:jc w:val="left"/>
            </w:pPr>
            <w:r>
              <w:t xml:space="preserve">12.1%</w:t>
            </w:r>
          </w:p>
        </w:tc>
        <w:tc>
          <w:tcPr/>
          <w:p>
            <w:pPr>
              <w:pStyle w:val="Compact"/>
              <w:jc w:val="left"/>
            </w:pPr>
            <w:r>
              <w:t xml:space="preserve">49.5%</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0.73</w:t>
            </w:r>
          </w:p>
        </w:tc>
        <w:tc>
          <w:tcPr/>
          <w:p>
            <w:pPr>
              <w:pStyle w:val="Compact"/>
              <w:jc w:val="left"/>
            </w:pPr>
            <w:r>
              <w:t xml:space="preserve">8.6%</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0.033</w:t>
            </w:r>
          </w:p>
        </w:tc>
        <w:tc>
          <w:tcPr/>
          <w:p>
            <w:pPr>
              <w:pStyle w:val="Compact"/>
              <w:jc w:val="left"/>
            </w:pPr>
            <w:r>
              <w:t xml:space="preserve">0.92</w:t>
            </w:r>
          </w:p>
        </w:tc>
        <w:tc>
          <w:tcPr/>
          <w:p>
            <w:pPr>
              <w:pStyle w:val="Compact"/>
              <w:jc w:val="left"/>
            </w:pPr>
            <w:r>
              <w:t xml:space="preserve">13.1%</w:t>
            </w:r>
          </w:p>
        </w:tc>
        <w:tc>
          <w:tcPr/>
          <w:p>
            <w:pPr>
              <w:pStyle w:val="Compact"/>
              <w:jc w:val="left"/>
            </w:pPr>
            <w:r>
              <w:t xml:space="preserve">40.2%</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0.0093</w:t>
            </w:r>
          </w:p>
        </w:tc>
        <w:tc>
          <w:tcPr/>
          <w:p>
            <w:pPr>
              <w:pStyle w:val="Compact"/>
              <w:jc w:val="left"/>
            </w:pPr>
            <w:r>
              <w:t xml:space="preserve">0.77</w:t>
            </w:r>
          </w:p>
        </w:tc>
        <w:tc>
          <w:tcPr/>
          <w:p>
            <w:pPr>
              <w:pStyle w:val="Compact"/>
              <w:jc w:val="left"/>
            </w:pPr>
            <w:r>
              <w:t xml:space="preserve">5.7%</w:t>
            </w:r>
          </w:p>
        </w:tc>
        <w:tc>
          <w:tcPr/>
          <w:p>
            <w:pPr>
              <w:pStyle w:val="Compact"/>
              <w:jc w:val="left"/>
            </w:pPr>
            <w:r>
              <w:t xml:space="preserve">21.0%</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0.0494</w:t>
            </w:r>
          </w:p>
        </w:tc>
        <w:tc>
          <w:tcPr/>
          <w:p>
            <w:pPr>
              <w:pStyle w:val="Compact"/>
              <w:jc w:val="left"/>
            </w:pPr>
            <w:r>
              <w:t xml:space="preserve">0.86</w:t>
            </w:r>
          </w:p>
        </w:tc>
        <w:tc>
          <w:tcPr/>
          <w:p>
            <w:pPr>
              <w:pStyle w:val="Compact"/>
              <w:jc w:val="left"/>
            </w:pPr>
            <w:r>
              <w:t xml:space="preserve">16.8%</w:t>
            </w:r>
          </w:p>
        </w:tc>
        <w:tc>
          <w:tcPr/>
          <w:p>
            <w:pPr>
              <w:pStyle w:val="Compact"/>
              <w:jc w:val="left"/>
            </w:pPr>
            <w:r>
              <w:t xml:space="preserve">45.2%</w:t>
            </w:r>
          </w:p>
        </w:tc>
        <w:tc>
          <w:tcPr/>
          <w:p>
            <w:pPr>
              <w:pStyle w:val="Compact"/>
              <w:jc w:val="left"/>
            </w:pPr>
            <w:r>
              <w:t xml:space="preserve">1004</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r>
        <w:rPr>
          <w:b/>
          <w:bCs/>
          <w:i/>
          <w:iCs/>
        </w:rPr>
        <w:t xml:space="preserve">Table 3.</w:t>
      </w:r>
      <w:r>
        <w:rPr>
          <w:i/>
          <w:iCs/>
        </w:rPr>
        <w:t xml:space="preserve"> </w:t>
      </w:r>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N column reflects pre-exclusion sample size). Sorted by category then HHI ascending.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(0.095) reflects May 2026 Dune top-1008 pull with eight PCA exclusions; Hivemapper + io.net rows from Helius DAS API.</w:t>
      </w:r>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r>
        <w:t xml:space="preserve">Methodology notes: HHI for Curve reflects raw CRV holdings;</w:t>
      </w:r>
      <w:r>
        <w:t xml:space="preserve"> </w:t>
      </w:r>
      <w:r>
        <w:t xml:space="preserve">veCRV-weighted voting concentration is approximately 0.26 computed</w:t>
      </w:r>
      <w:r>
        <w:t xml:space="preserve"> </w:t>
      </w:r>
      <w:r>
        <w:t xml:space="preserve">from cumulative CRV deposit volume across the top-50 historical</w:t>
      </w:r>
      <w:r>
        <w:t xml:space="preserve"> </w:t>
      </w:r>
      <w:r>
        <w:t xml:space="preserve">veCRV lockers (Convex Finance, an aggregator that pools user-deposited</w:t>
      </w:r>
      <w:r>
        <w:t xml:space="preserve"> </w:t>
      </w:r>
      <w:r>
        <w:t xml:space="preserve">CRV into a single locked veCRV position and votes as a meta-governance</w:t>
      </w:r>
      <w:r>
        <w:t xml:space="preserve"> </w:t>
      </w:r>
      <w:r>
        <w:t xml:space="preserve">layer on behalf of depositors, holds 48% of the top-50 deposit-weighted</w:t>
      </w:r>
      <w:r>
        <w:t xml:space="preserve"> </w:t>
      </w:r>
      <w:r>
        <w:t xml:space="preserve">share; Yearn Finance, a yield-aggregation protocol that runs a similar</w:t>
      </w:r>
      <w:r>
        <w:t xml:space="preserve"> </w:t>
      </w:r>
      <w:r>
        <w:t xml:space="preserve">meta-governance position, holds 14%; Stake DAO holds 9%; the remaining</w:t>
      </w:r>
      <w:r>
        <w:t xml:space="preserve"> </w:t>
      </w:r>
      <w:r>
        <w:t xml:space="preserve">top-50 lockers each hold less than 4%); the methodology is</w:t>
      </w:r>
      <w:r>
        <w:t xml:space="preserve"> </w:t>
      </w:r>
      <w:r>
        <w:t xml:space="preserve">discussed in Section 4.5.2. HHI for Uniswap reflects post-burn-rule exclusion of</w:t>
      </w:r>
      <w:r>
        <w:t xml:space="preserve"> </w:t>
      </w:r>
      <w:r>
        <w:t xml:space="preserve">0x000...dead (102.46M UNI, 11.27% of supply). Top-1% and Top-10%</w:t>
      </w:r>
      <w:r>
        <w:t xml:space="preserve"> </w:t>
      </w:r>
      <w:r>
        <w:t xml:space="preserve">columns for AAVE, UNI, ARB, GRT, and OP report post-exclusion shares,</w:t>
      </w:r>
      <w:r>
        <w:t xml:space="preserve"> </w:t>
      </w:r>
      <w:r>
        <w:t xml:space="preserve">applying the same protocol-controlled-address exclusion methodology used</w:t>
      </w:r>
      <w:r>
        <w:t xml:space="preserve"> </w:t>
      </w:r>
      <w:r>
        <w:t xml:space="preserve">for HHI computation.</w:t>
      </w:r>
    </w:p>
    <w:p>
      <w:pPr>
        <w:pStyle w:val="BodyText"/>
      </w:pPr>
      <w:r>
        <w:t xml:space="preserve">HHI ranges from 0.005 to 0.199 across the full sample. Among DeFi</w:t>
      </w:r>
      <w:r>
        <w:t xml:space="preserve"> </w:t>
      </w:r>
      <w:r>
        <w:t xml:space="preserve">governance tokens, HHI ranges from 0.005 (Hyperliquid, after excluding</w:t>
      </w:r>
      <w:r>
        <w:t xml:space="preserve"> </w:t>
      </w:r>
      <w:r>
        <w:t xml:space="preserve">the Assistance Fund and burn addresses) to 0.096 (Jupiter). Curve’s</w:t>
      </w:r>
      <w:r>
        <w:t xml:space="preserve"> </w:t>
      </w:r>
      <w:r>
        <w:t xml:space="preserve">raw CRV holding HHI of 0.014 reflects the post-Convex-exclusion</w:t>
      </w:r>
      <w:r>
        <w:t xml:space="preserve"> </w:t>
      </w:r>
      <w:r>
        <w:t xml:space="preserve">distribution; the veCRV-weighted voting concentration is substantially</w:t>
      </w:r>
      <w:r>
        <w:t xml:space="preserve"> </w:t>
      </w:r>
      <w:r>
        <w:t xml:space="preserve">higher (approximately 0.26 computed from cumulative deposit volume</w:t>
      </w:r>
      <w:r>
        <w:t xml:space="preserve"> </w:t>
      </w:r>
      <w:r>
        <w:t xml:space="preserve">across the top-50 veCRV lockers; Section 4.5.2), and is discussed in Section 4.5.2. DePIN protocols span</w:t>
      </w:r>
      <w:r>
        <w:t xml:space="preserve"> </w:t>
      </w:r>
      <w:r>
        <w:t xml:space="preserve">a similar range: 0.018 (Hivemapper) to 0.199 (Livepeer); Morpheus AI</w:t>
      </w:r>
      <w:r>
        <w:t xml:space="preserve"> </w:t>
      </w:r>
      <w:r>
        <w:t xml:space="preserve">registers 0.046 after PCA exclusion (per Table 3 row 0.0464).</w:t>
      </w:r>
    </w:p>
    <w:p>
      <w:pPr>
        <w:pStyle w:val="BodyText"/>
      </w:pPr>
      <w:r>
        <w:t xml:space="preserve">Several protocols exhibit much lower concentration in the post-</w:t>
      </w:r>
      <w:r>
        <w:t xml:space="preserve"> </w:t>
      </w:r>
      <w:r>
        <w:t xml:space="preserve">exclusion top-1,000 sample than in the raw holder list. Applying the</w:t>
      </w:r>
      <w:r>
        <w:t xml:space="preserve"> </w:t>
      </w:r>
      <w:r>
        <w:t xml:space="preserve">holder-list correction for Solana tokens (Helius DAS API enumeration</w:t>
      </w:r>
      <w:r>
        <w:t xml:space="preserve"> </w:t>
      </w:r>
      <w:r>
        <w:t xml:space="preserve">versus the systematically-undercounting Dune indexer) and the PCA</w:t>
      </w:r>
      <w:r>
        <w:t xml:space="preserve"> </w:t>
      </w:r>
      <w:r>
        <w:t xml:space="preserve">exclusion methodology (38 protocols with documented exclusions; Section</w:t>
      </w:r>
      <w:r>
        <w:t xml:space="preserve"> </w:t>
      </w:r>
      <w:r>
        <w:t xml:space="preserve">2.10.10), the DePIN-DeFi concentration gap is computed on a holder</w:t>
      </w:r>
      <w:r>
        <w:t xml:space="preserve"> </w:t>
      </w:r>
      <w:r>
        <w:t xml:space="preserve">sample materially different from the naive top-1,000 alternative. For</w:t>
      </w:r>
      <w:r>
        <w:t xml:space="preserve"> </w:t>
      </w:r>
      <w:r>
        <w:t xml:space="preserve">DRIFT, the raw holder distribution yields HHI 0.419 against the</w:t>
      </w:r>
      <w:r>
        <w:t xml:space="preserve"> </w:t>
      </w:r>
      <w:r>
        <w:t xml:space="preserve">post-exclusion value of 0.053 (Helius enumerates 27,888 distinct</w:t>
      </w:r>
      <w:r>
        <w:t xml:space="preserve"> </w:t>
      </w:r>
      <w:r>
        <w:t xml:space="preserve">holders versus 104 retrieved from the Dune indexer). Wormhole</w:t>
      </w:r>
      <w:r>
        <w:t xml:space="preserve"> </w:t>
      </w:r>
      <w:r>
        <w:t xml:space="preserve">(W) moves from 0.126 (raw) to 0.012 (post-exclusion); GRASS moves</w:t>
      </w:r>
      <w:r>
        <w:t xml:space="preserve"> </w:t>
      </w:r>
      <w:r>
        <w:t xml:space="preserve">from 0.132 to 0.035. The exclusion methodology</w:t>
      </w:r>
      <w:r>
        <w:t xml:space="preserve"> </w:t>
      </w:r>
      <w:r>
        <w:t xml:space="preserve">(</w:t>
      </w:r>
      <w:hyperlink r:id="rId33">
        <w:r>
          <w:rPr>
            <w:rStyle w:val="Hyperlink"/>
          </w:rPr>
          <w:t xml:space="preserve">Supplementary File S6</w:t>
        </w:r>
      </w:hyperlink>
      <w:r>
        <w:t xml:space="preserve">)</w:t>
      </w:r>
      <w:r>
        <w:t xml:space="preserve"> </w:t>
      </w:r>
      <w:r>
        <w:t xml:space="preserve">is particularly consequential for protocols with large foundation</w:t>
      </w:r>
      <w:r>
        <w:t xml:space="preserve"> </w:t>
      </w:r>
      <w:r>
        <w:t xml:space="preserve">treasuries or exchange custodian addresses in the top-10 holders.</w:t>
      </w:r>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48"/>
    <w:bookmarkStart w:id="52" w:name="depin-vs.-defi-contrast"/>
    <w:p>
      <w:pPr>
        <w:pStyle w:val="Heading2"/>
      </w:pPr>
      <w:r>
        <w:t xml:space="preserve">4.3 DePIN vs. DeFi Contrast</w:t>
      </w:r>
    </w:p>
    <w:p>
      <w:pPr>
        <w:pStyle w:val="FirstParagraph"/>
      </w:pPr>
      <w:r>
        <w:t xml:space="preserve">DePIN protocols have approximately two and a third times the governance</w:t>
      </w:r>
      <w:r>
        <w:t xml:space="preserve"> </w:t>
      </w:r>
      <w:r>
        <w:t xml:space="preserve">concentration of DeFi protocols (mean HHI 0.071 vs. 0.031, a ratio of 2.3; Mann-Whitney</w:t>
      </w:r>
      <w:r>
        <w:t xml:space="preserve"> </w:t>
      </w:r>
      <w:r>
        <w:t xml:space="preserve">p = 0.020, Cohen’s d = 0.94,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Mann-Whitney</w:t>
      </w:r>
      <w:r>
        <w:t xml:space="preserve"> </w:t>
      </w:r>
      <w:r>
        <w:t xml:space="preserve">result holds across all 30 leave-one-out (LOO) iterations (p range</w:t>
      </w:r>
      <w:r>
        <w:t xml:space="preserve"> </w:t>
      </w:r>
      <w:r>
        <w:t xml:space="preserve">across iterations: 0.008 to 0.034; Cohen’s d range: 0.84 to 1.10;</w:t>
      </w:r>
      <w:r>
        <w:t xml:space="preserve"> </w:t>
      </w:r>
      <w:r>
        <w:t xml:space="preserve">per-iteration LOO values in Supplementary File S5), and a two-sided permutation</w:t>
      </w:r>
      <w:r>
        <w:t xml:space="preserve"> </w:t>
      </w:r>
      <w:r>
        <w:t xml:space="preserve">test (100,000 random reassignments of sector labels) yields p = 0.012.</w:t>
      </w:r>
      <w:r>
        <w:t xml:space="preserve"> </w:t>
      </w:r>
      <w:r>
        <w:t xml:space="preserve">A non-parametric bootstrap on the sector mean difference (a resampling technique that estimates statistical variability by drawing 10,000 random samples with replacement from the observed data) yields a 95% percentile interval of [0.012, 0.069] HHI points (Cohen’s d 95% confidence interval (CI): [0.32, 1.68]), strictly excluding zero, evidence consistent with the sector contrast being robust to resampling.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0" name="Picture"/>
            <a:graphic>
              <a:graphicData uri="http://schemas.openxmlformats.org/drawingml/2006/picture">
                <pic:pic>
                  <pic:nvPicPr>
                    <pic:cNvPr descr="media/fig4_sector_boxplot.png" id="51" name="Picture"/>
                    <pic:cNvPicPr>
                      <a:picLocks noChangeArrowheads="1" noChangeAspect="1"/>
                    </pic:cNvPicPr>
                  </pic:nvPicPr>
                  <pic:blipFill>
                    <a:blip r:embed="rId49"/>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(0.071) exceeds DeFi mean (0.031), with distributions overlapping</w:t>
      </w:r>
      <w:r>
        <w:rPr>
          <w:i/>
          <w:iCs/>
        </w:rPr>
        <w:t xml:space="preserve"> </w:t>
      </w:r>
      <w:r>
        <w:rPr>
          <w:i/>
          <w:iCs/>
        </w:rPr>
        <w:t xml:space="preserve">substantially: 8 of 15 DePIN protocols fall within the DeFi range. The</w:t>
      </w:r>
      <w:r>
        <w:rPr>
          <w:i/>
          <w:iCs/>
        </w:rPr>
        <w:t xml:space="preserve"> </w:t>
      </w:r>
      <w:r>
        <w:rPr>
          <w:i/>
          <w:iCs/>
        </w:rPr>
        <w:t xml:space="preserve">Mann-Whitney test (p = 0.020, d = 0.94)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w:t>
      </w:r>
    </w:p>
    <w:p>
      <w:pPr>
        <w:pStyle w:val="BodyText"/>
      </w:pPr>
      <w:r>
        <w:t xml:space="preserve">DePIN governance concentration is also significantly higher than L1/L2</w:t>
      </w:r>
      <w:r>
        <w:t xml:space="preserve"> </w:t>
      </w:r>
      <w:r>
        <w:t xml:space="preserve">infrastructure protocols (mean HHI 0.024, N = 8): Welch t-test (a t-test variant that does not assume equal variances across the two groups) p = 0.006,</w:t>
      </w:r>
      <w:r>
        <w:t xml:space="preserve"> </w:t>
      </w:r>
      <w:r>
        <w:t xml:space="preserve">Cohen’s d = 1.04; Mann-Whitney p = 0.016. This divergence reflects</w:t>
      </w:r>
      <w:r>
        <w:t xml:space="preserve"> </w:t>
      </w:r>
      <w:r>
        <w:t xml:space="preserve">post-exclusion infrastructure HHIs: ARB (0.012), OP (0.009), and GRT</w:t>
      </w:r>
      <w:r>
        <w:t xml:space="preserve"> </w:t>
      </w:r>
      <w:r>
        <w:t xml:space="preserve">(0.033) show distributed holdings once foundation and bridge addresses</w:t>
      </w:r>
      <w:r>
        <w:t xml:space="preserve"> </w:t>
      </w:r>
      <w:r>
        <w:t xml:space="preserve">are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w:t>
      </w:r>
      <w:r>
        <w:t xml:space="preserve"> </w:t>
      </w:r>
      <w:r>
        <w:t xml:space="preserve">2026),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End w:id="52"/>
    <w:bookmarkStart w:id="56"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0.05, p = 0.76, N = 37; Spearman rho</w:t>
      </w:r>
      <w:r>
        <w:t xml:space="preserve"> </w:t>
      </w:r>
      <w:r>
        <w:t xml:space="preserve">= 0.07, p = 0.69).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The reported AAVE holding HHI of 0.013 therefore understates</w:t>
      </w:r>
      <w:r>
        <w:t xml:space="preserve"> </w:t>
      </w:r>
      <w:r>
        <w:t xml:space="preserve">effective governance concentration; reconstructing the staker</w:t>
      </w:r>
      <w:r>
        <w:t xml:space="preserve"> </w:t>
      </w:r>
      <w:r>
        <w:t xml:space="preserve">distribution would require parsing all stkAAVE deposit events, which is</w:t>
      </w:r>
      <w:r>
        <w:t xml:space="preserve"> </w:t>
      </w:r>
      <w:r>
        <w:t xml:space="preserve">deferred to follow-up work. The companion Tally-sourced AAVE delegation</w:t>
      </w:r>
      <w:r>
        <w:t xml:space="preserve"> </w:t>
      </w:r>
      <w:r>
        <w:t xml:space="preserve">HHI of 0.058 in Table 6 partially closes this gap by capturing</w:t>
      </w:r>
      <w:r>
        <w:t xml:space="preserve"> </w:t>
      </w:r>
      <w:r>
        <w:t xml:space="preserve">concentration in delegated voting rather than raw token holdings.</w:t>
      </w:r>
    </w:p>
    <w:p>
      <w:pPr>
        <w:pStyle w:val="BodyText"/>
      </w:pPr>
      <w:r>
        <w:t xml:space="preserve">Longitudinal panel evidence consistent with the cross-sectional null.</w:t>
      </w:r>
      <w:r>
        <w:t xml:space="preserve"> </w:t>
      </w:r>
      <w:r>
        <w:t xml:space="preserve">A companion quarterly HHI panel for 14 governance tokens over 8</w:t>
      </w:r>
      <w:r>
        <w:t xml:space="preserve"> </w:t>
      </w:r>
      <w:r>
        <w:t xml:space="preserve">quarters post-token-generation event (Supplementary File S7) shows</w:t>
      </w:r>
      <w:r>
        <w:t xml:space="preserve"> </w:t>
      </w:r>
      <w:r>
        <w:t xml:space="preserve">that 11 of 14 protocols exhibit monotonic governance HHI decay over</w:t>
      </w:r>
      <w:r>
        <w:t xml:space="preserve"> </w:t>
      </w:r>
      <w:r>
        <w:t xml:space="preserve">the 24-month observation window, with the three exceptions reflecting</w:t>
      </w:r>
      <w:r>
        <w:t xml:space="preserve"> </w:t>
      </w:r>
      <w:r>
        <w:t xml:space="preserve">mechanism-specific lock-in: CRV (vote-escrow), COMP (reservoir-drip</w:t>
      </w:r>
      <w:r>
        <w:t xml:space="preserve"> </w:t>
      </w:r>
      <w:r>
        <w:t xml:space="preserve">emissions), and ENS (claim-window distribution). The longitudinal</w:t>
      </w:r>
      <w:r>
        <w:t xml:space="preserve"> </w:t>
      </w:r>
      <w:r>
        <w:t xml:space="preserve">pattern reinforces the cross-sectional finding that initial allocation</w:t>
      </w:r>
      <w:r>
        <w:t xml:space="preserve"> </w:t>
      </w:r>
      <w:r>
        <w:t xml:space="preserve">is not associated with steady-state concentration: distributions tend to</w:t>
      </w:r>
      <w:r>
        <w:t xml:space="preserve"> </w:t>
      </w:r>
      <w:r>
        <w:t xml:space="preserve">deconcentrate over time across heterogeneous allocation designs,</w:t>
      </w:r>
      <w:r>
        <w:t xml:space="preserve"> </w:t>
      </w:r>
      <w:r>
        <w:t xml:space="preserve">indicating that the relevant institutional-design margin is</w:t>
      </w:r>
      <w:r>
        <w:t xml:space="preserve"> </w:t>
      </w:r>
      <w:r>
        <w:t xml:space="preserve">post-distribution architecture (delegation programs, lock-in</w:t>
      </w:r>
      <w:r>
        <w:t xml:space="preserve"> </w:t>
      </w:r>
      <w:r>
        <w:t xml:space="preserve">mechanisms, distribution-channel diversity) rather than launch-time</w:t>
      </w:r>
      <w:r>
        <w:t xml:space="preserve"> </w:t>
      </w:r>
      <w:r>
        <w:t xml:space="preserve">allocation. The panel design supports the cross-section’s descriptive</w:t>
      </w:r>
      <w:r>
        <w:t xml:space="preserve"> </w:t>
      </w:r>
      <w:r>
        <w:t xml:space="preserve">claim without resolving causal identification (which requires the</w:t>
      </w:r>
      <w:r>
        <w:t xml:space="preserve"> </w:t>
      </w:r>
      <w:r>
        <w:t xml:space="preserve">panel-and-event-study extension specified in Section 5.8).</w:t>
      </w:r>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0.05</w:t>
            </w:r>
          </w:p>
        </w:tc>
        <w:tc>
          <w:tcPr/>
          <w:p>
            <w:pPr>
              <w:pStyle w:val="Compact"/>
              <w:jc w:val="left"/>
            </w:pPr>
            <w:r>
              <w:t xml:space="preserve">0.76</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0.003</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0.77</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U=172</w:t>
            </w:r>
          </w:p>
        </w:tc>
        <w:tc>
          <w:tcPr/>
          <w:p>
            <w:pPr>
              <w:pStyle w:val="Compact"/>
              <w:jc w:val="left"/>
            </w:pPr>
            <w:r>
              <w:t xml:space="preserve">0.016</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&lt;0.001</w:t>
            </w:r>
          </w:p>
        </w:tc>
        <w:tc>
          <w:tcPr/>
          <w:p>
            <w:pPr>
              <w:pStyle w:val="Compact"/>
              <w:jc w:val="left"/>
            </w:pPr>
            <w:r>
              <w:t xml:space="preserve">40</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54" name="Picture"/>
            <a:graphic>
              <a:graphicData uri="http://schemas.openxmlformats.org/drawingml/2006/picture">
                <pic:pic>
                  <pic:nvPicPr>
                    <pic:cNvPr descr="media/fig5_allocation_scatter.png" id="55" name="Picture"/>
                    <pic:cNvPicPr>
                      <a:picLocks noChangeArrowheads="1" noChangeAspect="1"/>
                    </pic:cNvPicPr>
                  </pic:nvPicPr>
                  <pic:blipFill>
                    <a:blip r:embed="rId53"/>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Insider allocation (%) vs. post-exclusion holding HHI for 37</w:t>
      </w:r>
      <w:r>
        <w:rPr>
          <w:i/>
          <w:iCs/>
        </w:rPr>
        <w:t xml:space="preserve"> </w:t>
      </w:r>
      <w:r>
        <w:rPr>
          <w:i/>
          <w:iCs/>
        </w:rPr>
        <w:t xml:space="preserve">regression-ready protocols. The null relationship (r = 0.05, p = 0.76)</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insider allocation drove</w:t>
      </w:r>
      <w:r>
        <w:rPr>
          <w:i/>
          <w:iCs/>
        </w:rPr>
        <w:t xml:space="preserve"> </w:t>
      </w:r>
      <w:r>
        <w:rPr>
          <w:i/>
          <w:iCs/>
        </w:rPr>
        <w:t xml:space="preserve">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0.05, p = 0.76,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r>
        <w:t xml:space="preserve">The governance concentration patterns documented across the sample</w:t>
      </w:r>
      <w:r>
        <w:t xml:space="preserve"> </w:t>
      </w:r>
      <w:r>
        <w:t xml:space="preserve">(Section 4.2, Table 3; HHI range 0.005 to 0.199) are descriptive, but</w:t>
      </w:r>
      <w:r>
        <w:t xml:space="preserve"> </w:t>
      </w:r>
      <w:r>
        <w:t xml:space="preserve">they matter for governance audits because protocols often cite token</w:t>
      </w:r>
      <w:r>
        <w:t xml:space="preserve"> </w:t>
      </w:r>
      <w:r>
        <w:t xml:space="preserve">distribution as evidence of decentralization. The corrected data show</w:t>
      </w:r>
      <w:r>
        <w:t xml:space="preserve"> </w:t>
      </w:r>
      <w:r>
        <w:t xml:space="preserve">that current holder composition, insider retention, and delegation</w:t>
      </w:r>
      <w:r>
        <w:t xml:space="preserve"> </w:t>
      </w:r>
      <w:r>
        <w:t xml:space="preserve">mechanics are more informative audit targets than launch allocation</w:t>
      </w:r>
      <w:r>
        <w:t xml:space="preserve"> </w:t>
      </w:r>
      <w:r>
        <w:t xml:space="preserve">percentages alone.</w:t>
      </w:r>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w:t>
      </w:r>
      <w:r>
        <w:t xml:space="preserve"> </w:t>
      </w:r>
      <w:r>
        <w:t xml:space="preserve">of 0.095, 0.013, and 0.125 respectively. All three are revenue-dominant;</w:t>
      </w:r>
      <w:r>
        <w:t xml:space="preserve"> </w:t>
      </w:r>
      <w:r>
        <w:t xml:space="preserve">their concentration spans much of the 40-protocol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0.053, p = 0.036,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w:t>
      </w:r>
      <w:r>
        <w:t xml:space="preserve"> </w:t>
      </w:r>
      <w:r>
        <w:t xml:space="preserve">that sector membership accounts for more cross-sectional variation than</w:t>
      </w:r>
      <w:r>
        <w:t xml:space="preserve"> </w:t>
      </w:r>
      <w:r>
        <w:t xml:space="preserve">protocol age, valuation, or allocation structure. The sample (N = 35 to 38 depending on</w:t>
      </w:r>
      <w:r>
        <w:t xml:space="preserve"> </w:t>
      </w:r>
      <w:r>
        <w:t xml:space="preserve">specification) remains too small to reliably isolate independent</w:t>
      </w:r>
      <w:r>
        <w:t xml:space="preserve"> </w:t>
      </w:r>
      <w:r>
        <w:t xml:space="preserve">effects; the pipeline specification (</w:t>
      </w:r>
      <w:hyperlink r:id="rId39">
        <w:r>
          <w:rPr>
            <w:rStyle w:val="Hyperlink"/>
          </w:rPr>
          <w:t xml:space="preserve">Supplementary File S5</w:t>
        </w:r>
      </w:hyperlink>
      <w:r>
        <w:t xml:space="preserve">)</w:t>
      </w:r>
      <w:r>
        <w:t xml:space="preserve"> </w:t>
      </w:r>
      <w:r>
        <w:t xml:space="preserve">documents the infrastructure for replication at larger sample sizes.</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pP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pP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pPr>
          </w:p>
        </w:tc>
        <w:tc>
          <w:tcPr/>
          <w:p>
            <w:pPr>
              <w:pStyle w:val="Compact"/>
            </w:pP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Successive models lose</w:t>
      </w:r>
      <w:r>
        <w:rPr>
          <w:i/>
          <w:iCs/>
        </w:rPr>
        <w:t xml:space="preserve"> </w:t>
      </w:r>
      <w:r>
        <w:rPr>
          <w:i/>
          <w:iCs/>
        </w:rPr>
        <w:t xml:space="preserve">observations as covariate availability declines (N = 38 to 36 to 35).</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w:t>
      </w:r>
    </w:p>
    <w:p>
      <w:pPr>
        <w:pStyle w:val="BodyText"/>
      </w:pPr>
      <w:r>
        <w:t xml:space="preserve">A bootstrap robustness check supports the sector coefficient is</w:t>
      </w:r>
      <w:r>
        <w:t xml:space="preserve"> </w:t>
      </w:r>
      <w:r>
        <w:t xml:space="preserve">reliably positive across resampling under the full Model 3</w:t>
      </w:r>
      <w:r>
        <w:t xml:space="preserve"> </w:t>
      </w:r>
      <w:r>
        <w:t xml:space="preserve">specification. With 5,000 bootstrap resamples of the N = 35 sample, the</w:t>
      </w:r>
      <w:r>
        <w:t xml:space="preserve"> </w:t>
      </w:r>
      <w:r>
        <w:t xml:space="preserve">DePIN coefficient bootstrap distribution centers at +0.054 with a</w:t>
      </w:r>
      <w:r>
        <w:t xml:space="preserve"> </w:t>
      </w:r>
      <w:r>
        <w:t xml:space="preserve">95% percentile interval of [+0.001, +0.091], strictly above zero.</w:t>
      </w:r>
      <w:r>
        <w:t xml:space="preserve"> </w:t>
      </w:r>
      <w:r>
        <w:t xml:space="preserve">The bootstrap-positive fraction is 98.0%. The Model 3 attenuation</w:t>
      </w:r>
      <w:r>
        <w:t xml:space="preserve"> </w:t>
      </w:r>
      <w:r>
        <w:t xml:space="preserve">relative to Models 1 and 2 is attributable to partial collinearity</w:t>
      </w:r>
      <w:r>
        <w:t xml:space="preserve"> </w:t>
      </w:r>
      <w:r>
        <w:t xml:space="preserve">between the DePIN sector indicator and the insider-allocation control: in</w:t>
      </w:r>
      <w:r>
        <w:t xml:space="preserve"> </w:t>
      </w:r>
      <w:r>
        <w:t xml:space="preserve">the cross-section, DePIN protocols cluster on higher insider</w:t>
      </w:r>
      <w:r>
        <w:t xml:space="preserve"> </w:t>
      </w:r>
      <w:r>
        <w:t xml:space="preserve">allocation than DeFi protocols, so a fraction of the sector</w:t>
      </w:r>
      <w:r>
        <w:t xml:space="preserve"> </w:t>
      </w:r>
      <w:r>
        <w:t xml:space="preserve">coefficient’s signal is absorbed by the insider variable when both</w:t>
      </w:r>
      <w:r>
        <w:t xml:space="preserve"> </w:t>
      </w:r>
      <w:r>
        <w:t xml:space="preserve">appear in the same model. This is consistent with the cross-sectional</w:t>
      </w:r>
      <w:r>
        <w:t xml:space="preserve"> </w:t>
      </w:r>
      <w:r>
        <w:t xml:space="preserve">allocation null (Table 4, Pearson r = 0.05 for insider allocation</w:t>
      </w:r>
      <w:r>
        <w:t xml:space="preserve"> </w:t>
      </w:r>
      <w:r>
        <w:t xml:space="preserve">alone) rather than indicating that the sector effect is fragile to</w:t>
      </w:r>
      <w:r>
        <w:t xml:space="preserve"> </w:t>
      </w:r>
      <w:r>
        <w:t xml:space="preserve">covariate inclusion. The N = 35 multivariate sample also limits the</w:t>
      </w:r>
      <w:r>
        <w:t xml:space="preserve"> </w:t>
      </w:r>
      <w:r>
        <w:t xml:space="preserve">precision with which the sector coefficient can be statistically</w:t>
      </w:r>
      <w:r>
        <w:t xml:space="preserve"> </w:t>
      </w:r>
      <w:r>
        <w:t xml:space="preserve">isolated from correlated controls; the bootstrap robustness check</w:t>
      </w:r>
      <w:r>
        <w:t xml:space="preserve"> </w:t>
      </w:r>
      <w:r>
        <w:t xml:space="preserve">above is the more informative robustness statement under small-sample</w:t>
      </w:r>
      <w:r>
        <w:t xml:space="preserve"> </w:t>
      </w:r>
      <w:r>
        <w:t xml:space="preserve">multivariate conditions.</w:t>
      </w:r>
    </w:p>
    <w:bookmarkEnd w:id="56"/>
    <w:bookmarkStart w:id="67" w:name="voting-power-vs-holding-concentration"/>
    <w:p>
      <w:pPr>
        <w:pStyle w:val="Heading2"/>
      </w:pPr>
      <w:r>
        <w:t xml:space="preserve">4.5 Voting Power vs Holding Concentration</w:t>
      </w:r>
    </w:p>
    <w:p>
      <w:pPr>
        <w:pStyle w:val="FirstParagraph"/>
      </w:pPr>
      <w:r>
        <w:t xml:space="preserve">Delegation usually amplifies governance concentration above holding</w:t>
      </w:r>
      <w:r>
        <w:t xml:space="preserve"> </w:t>
      </w:r>
      <w:r>
        <w:t xml:space="preserve">levels in the protocols with comparable voting data. Table 6 compares</w:t>
      </w:r>
      <w:r>
        <w:t xml:space="preserve"> </w:t>
      </w:r>
      <w:r>
        <w:t xml:space="preserve">post-exclusion holding HHI with voting-HHI for thirteen protocols. Nine</w:t>
      </w:r>
      <w:r>
        <w:t xml:space="preserve"> </w:t>
      </w:r>
      <w:r>
        <w:t xml:space="preserve">protocols amplify, with ratios from 1.6x (DRIFT) to 9.9x (Compound) and</w:t>
      </w:r>
      <w:r>
        <w:t xml:space="preserve"> </w:t>
      </w:r>
      <w:r>
        <w:t xml:space="preserve">a mean of approximately 4.9x. Four protocols disperse voting power below</w:t>
      </w:r>
      <w:r>
        <w:t xml:space="preserve"> </w:t>
      </w:r>
      <w:r>
        <w:t xml:space="preserve">the holding baseline: ENS (0.45x), GMX (0.87x), HNT (0.35x to 0.53x),</w:t>
      </w:r>
      <w:r>
        <w:t xml:space="preserve"> </w:t>
      </w:r>
      <w:r>
        <w:t xml:space="preserve">and JUP (0.057x). The holding-based HHI reported in Table 3 measures</w:t>
      </w:r>
      <w:r>
        <w:t xml:space="preserve"> </w:t>
      </w:r>
      <w:r>
        <w:t xml:space="preserve">token distribution, not governance power; delegated voting data are</w:t>
      </w:r>
      <w:r>
        <w:t xml:space="preserve"> </w:t>
      </w:r>
      <w:r>
        <w:t xml:space="preserve">therefore necessary for protocols where votes flow through delegates,</w:t>
      </w:r>
      <w:r>
        <w:t xml:space="preserve"> </w:t>
      </w:r>
      <w:r>
        <w:t xml:space="preserve">governance platforms, or lockup-weighted voting systems. To quantify</w:t>
      </w:r>
      <w:r>
        <w:t xml:space="preserve"> </w:t>
      </w:r>
      <w:r>
        <w:t xml:space="preserve">this gap, the analysis uses Tally, Snapshot, and Solana on-chain</w:t>
      </w:r>
      <w:r>
        <w:t xml:space="preserve"> </w:t>
      </w:r>
      <w:r>
        <w:t xml:space="preserve">governance data from the 12 months preceding the voting snapshot.</w:t>
      </w:r>
    </w:p>
    <w:p>
      <w:pPr>
        <w:pStyle w:val="BodyText"/>
      </w:pPr>
      <w:r>
        <w:t xml:space="preserve">Amplification varies by sector composition rather than by sector</w:t>
      </w:r>
      <w:r>
        <w:t xml:space="preserve"> </w:t>
      </w:r>
      <w:r>
        <w:t xml:space="preserve">membership. Within DeFi, the range spans 1.6x (DRIFT) to 9.9x (Compound);</w:t>
      </w:r>
      <w:r>
        <w:t xml:space="preserve"> </w:t>
      </w:r>
      <w:r>
        <w:t xml:space="preserve">DePIN spans 3.8x (WeatherXM) to 9.1x (DIMO); infrastructure spans 3.1x</w:t>
      </w:r>
      <w:r>
        <w:t xml:space="preserve"> </w:t>
      </w:r>
      <w:r>
        <w:t xml:space="preserve">(Arbitrum) to 3.6x (Optimism). The four dispersion exceptions are</w:t>
      </w:r>
      <w:r>
        <w:t xml:space="preserve"> </w:t>
      </w:r>
      <w:r>
        <w:t xml:space="preserve">discussed individually in §4.5.1 (ENS), §4.5.1.1 (GMX), and §4.5.4</w:t>
      </w:r>
      <w:r>
        <w:t xml:space="preserve"> </w:t>
      </w:r>
      <w:r>
        <w:t xml:space="preserve">(HNT and JUP under within-Solana heterogeneity). Sector membership is not associated with</w:t>
      </w:r>
      <w:r>
        <w:t xml:space="preserve"> </w:t>
      </w:r>
      <w:r>
        <w:t xml:space="preserve">how strongly delegation concentrates power; delegate-program design is</w:t>
      </w:r>
      <w:r>
        <w:t xml:space="preserve"> </w:t>
      </w:r>
      <w:r>
        <w:t xml:space="preserve">the more plausible measurement surface. DIMO’s voting HHI (0.228) is 9.1 times its</w:t>
      </w:r>
      <w:r>
        <w:t xml:space="preserve"> </w:t>
      </w:r>
      <w:r>
        <w:t xml:space="preserve">holding HHI (0.025), though this ratio is based on only 10 Snapshot</w:t>
      </w:r>
      <w:r>
        <w:t xml:space="preserve"> </w:t>
      </w:r>
      <w:r>
        <w:t xml:space="preserve">voters and should be interpreted with caution, and WeatherXM’s (0.556)</w:t>
      </w:r>
      <w:r>
        <w:t xml:space="preserve"> </w:t>
      </w:r>
      <w:r>
        <w:t xml:space="preserve">is 3.8 times its holding HHI (0.148). A small number of delegates,</w:t>
      </w:r>
      <w:r>
        <w:t xml:space="preserve"> </w:t>
      </w:r>
      <w:r>
        <w:t xml:space="preserve">likely foundation-affiliated or early-investor wallets, control</w:t>
      </w:r>
      <w:r>
        <w:t xml:space="preserve"> </w:t>
      </w:r>
      <w:r>
        <w:t xml:space="preserve">governance outcomes despite relatively distributed token holdings.</w:t>
      </w:r>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0.053</w:t>
            </w:r>
          </w:p>
        </w:tc>
        <w:tc>
          <w:tcPr/>
          <w:p>
            <w:pPr>
              <w:pStyle w:val="Compact"/>
              <w:jc w:val="right"/>
            </w:pPr>
            <w:r>
              <w:t xml:space="preserve">0.083</w:t>
            </w:r>
          </w:p>
        </w:tc>
        <w:tc>
          <w:tcPr/>
          <w:p>
            <w:pPr>
              <w:pStyle w:val="Compact"/>
              <w:jc w:val="right"/>
            </w:pPr>
            <w:r>
              <w:t xml:space="preserve">1.6x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0.075</w:t>
            </w:r>
          </w:p>
        </w:tc>
        <w:tc>
          <w:tcPr/>
          <w:p>
            <w:pPr>
              <w:pStyle w:val="Compact"/>
              <w:jc w:val="right"/>
            </w:pPr>
            <w:r>
              <w:t xml:space="preserve">0.026-0.039</w:t>
            </w:r>
          </w:p>
        </w:tc>
        <w:tc>
          <w:tcPr/>
          <w:p>
            <w:pPr>
              <w:pStyle w:val="Compact"/>
              <w:jc w:val="right"/>
            </w:pPr>
            <w:r>
              <w:t xml:space="preserve">0.35x-0.53x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0.049</w:t>
            </w:r>
          </w:p>
        </w:tc>
        <w:tc>
          <w:tcPr/>
          <w:p>
            <w:pPr>
              <w:pStyle w:val="Compact"/>
              <w:jc w:val="right"/>
            </w:pPr>
            <w:r>
              <w:t xml:space="preserve">0.022</w:t>
            </w:r>
          </w:p>
        </w:tc>
        <w:tc>
          <w:tcPr/>
          <w:p>
            <w:pPr>
              <w:pStyle w:val="Compact"/>
              <w:jc w:val="right"/>
            </w:pPr>
            <w:r>
              <w:t xml:space="preserve">0.45x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0.096</w:t>
            </w:r>
          </w:p>
        </w:tc>
        <w:tc>
          <w:tcPr/>
          <w:p>
            <w:pPr>
              <w:pStyle w:val="Compact"/>
              <w:jc w:val="right"/>
            </w:pPr>
            <w:r>
              <w:t xml:space="preserve">0.0055</w:t>
            </w:r>
          </w:p>
        </w:tc>
        <w:tc>
          <w:tcPr/>
          <w:p>
            <w:pPr>
              <w:pStyle w:val="Compact"/>
              <w:jc w:val="right"/>
            </w:pPr>
            <w:r>
              <w:t xml:space="preserve">0.057x</w:t>
            </w:r>
          </w:p>
        </w:tc>
        <w:tc>
          <w:tcPr/>
          <w:p>
            <w:pPr>
              <w:pStyle w:val="Compact"/>
            </w:pPr>
            <w:r>
              <w:t xml:space="preserve">Solana del-vote</w:t>
            </w:r>
          </w:p>
        </w:tc>
        <w:tc>
          <w:tcPr/>
          <w:p>
            <w:pPr>
              <w:pStyle w:val="Compact"/>
              <w:jc w:val="right"/>
            </w:pPr>
            <w:r>
              <w:t xml:space="preserve">128,476¶</w:t>
            </w:r>
          </w:p>
        </w:tc>
      </w:tr>
    </w:tbl>
    <w:p>
      <w:pPr>
        <w:pStyle w:val="BodyText"/>
      </w:pPr>
      <w:r>
        <w:rPr>
          <w:b/>
          <w:bCs/>
          <w:i/>
          <w:iCs/>
        </w:rPr>
        <w:t xml:space="preserve">Table 6.</w:t>
      </w:r>
      <w:r>
        <w:rPr>
          <w:i/>
          <w:iCs/>
        </w:rPr>
        <w:t xml:space="preserve"> </w:t>
      </w:r>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Nine of thirteen sampled protocols amplify; four structural exceptions show dispersion (ENS 0.45x and GMX 0.87x per Sections 4.5.1 + 4.5.1.1; HNT 0.35x-0.53x sensitivity-range per Section 4.5.4 VSR-lockup-weighted design; JUP 0.057x per Section 4.5.4 delegated-vote + broad-airdrop-user-base; JUP is most-extreme dispersion outlier in the cross-section). Curve veCRV + Balancer veBAL (15x and 21x respectively) form a distinct ve-token class discussed separately in Section 4.5.2.</w:t>
      </w:r>
    </w:p>
    <w:p>
      <w:pPr>
        <w:pStyle w:val="BodyText"/>
      </w:pPr>
      <w:r>
        <w:t xml:space="preserve">† Compound and Arbitrum voting HHI sourced from Snapshot (n = 138 and n = 5,466 unique voters respectively in the 12-month rolling-window measurement period) where Snapshot’s active-voter pool exceeded Tally’s top-100-delegate sampling. AAVE, Uniswap, Optimism,</w:t>
      </w:r>
      <w:r>
        <w:t xml:space="preserve"> </w:t>
      </w:r>
      <w:r>
        <w:t xml:space="preserve">GMX, and ENS use Tally (EVM-side delegate registry); DIMO, WeatherXM, and</w:t>
      </w:r>
      <w:r>
        <w:t xml:space="preserve"> </w:t>
      </w:r>
      <w:r>
        <w:t xml:space="preserve">Lido use Snapshot (Tally is not deployed for these EVM protocols). JUP,</w:t>
      </w:r>
      <w:r>
        <w:t xml:space="preserve"> </w:t>
      </w:r>
      <w:r>
        <w:t xml:space="preserve">HNT, and DRIFT use Solana on-chain governance program parsing (JUP via</w:t>
      </w:r>
      <w:r>
        <w:t xml:space="preserve"> </w:t>
      </w:r>
      <w:r>
        <w:t xml:space="preserve">Dune</w:t>
      </w:r>
      <w:r>
        <w:t xml:space="preserve"> </w:t>
      </w:r>
      <w:r>
        <w:rPr>
          <w:rStyle w:val="VerbatimChar"/>
        </w:rPr>
        <w:t xml:space="preserve">jupiter_solana.govern_call_setvote</w:t>
      </w:r>
      <w:r>
        <w:t xml:space="preserve"> </w:t>
      </w:r>
      <w:r>
        <w:t xml:space="preserve">decoded namespace with per-signer</w:t>
      </w:r>
      <w:r>
        <w:t xml:space="preserve"> </w:t>
      </w:r>
      <w:r>
        <w:t xml:space="preserve">max-weight aggregation; HNT and DRIFT via Helius RPC parsing of the</w:t>
      </w:r>
      <w:r>
        <w:t xml:space="preserve"> </w:t>
      </w:r>
      <w:r>
        <w:t xml:space="preserve">respective SPL Governance program VoteRecordV2 accounts) because Tally</w:t>
      </w:r>
      <w:r>
        <w:t xml:space="preserve"> </w:t>
      </w:r>
      <w:r>
        <w:t xml:space="preserve">is not deployed for Solana protocols and on-chain governance state is the</w:t>
      </w:r>
      <w:r>
        <w:t xml:space="preserve"> </w:t>
      </w:r>
      <w:r>
        <w:t xml:space="preserve">apples-to-apples comparable surface to Tally’s EVM delegate registries.</w:t>
      </w:r>
    </w:p>
    <w:p>
      <w:pPr>
        <w:pStyle w:val="BodyText"/>
      </w:pPr>
      <w:r>
        <w:t xml:space="preserve">‡ GMX and ENS values from paginated Tally top-100 delegate pulls</w:t>
      </w:r>
      <w:r>
        <w:t xml:space="preserve"> </w:t>
      </w:r>
      <w:r>
        <w:t xml:space="preserve">(May 2026). Snapshot date drift between the March 2026 baseline (used for</w:t>
      </w:r>
      <w:r>
        <w:t xml:space="preserve"> </w:t>
      </w:r>
      <w:r>
        <w:t xml:space="preserve">the eight protocols with March 2026 voting data) and May 2026 (used</w:t>
      </w:r>
      <w:r>
        <w:t xml:space="preserve"> </w:t>
      </w:r>
      <w:r>
        <w:t xml:space="preserve">for GMX and ENS) means rank-ordering across protocols is the durable</w:t>
      </w:r>
      <w:r>
        <w:t xml:space="preserve"> </w:t>
      </w:r>
      <w:r>
        <w:t xml:space="preserve">inferential property, with absolute magnitudes subject to delegate-pool</w:t>
      </w:r>
      <w:r>
        <w:t xml:space="preserve"> </w:t>
      </w:r>
      <w:r>
        <w:t xml:space="preserve">changes over multi-month windows.</w:t>
      </w:r>
    </w:p>
    <w:p>
      <w:pPr>
        <w:pStyle w:val="BodyText"/>
      </w:pPr>
      <w:r>
        <w:t xml:space="preserve">§ Aave voting HHI 0.058 from Tally all-delegates pull (N = 150,911); the</w:t>
      </w:r>
      <w:r>
        <w:t xml:space="preserve"> </w:t>
      </w:r>
      <w:r>
        <w:t xml:space="preserve">all-delegates depth establishes ARB at maximum 437,453-delegate depth as</w:t>
      </w:r>
      <w:r>
        <w:t xml:space="preserve"> </w:t>
      </w:r>
      <w:r>
        <w:t xml:space="preserve">the deepest-N anchor for the methodology-floor sensitivity analysis. Four</w:t>
      </w:r>
      <w:r>
        <w:t xml:space="preserve"> </w:t>
      </w:r>
      <w:r>
        <w:t xml:space="preserve">deeper-N sweeps (AAVE + COMP + UNI + ARB) produce sub-0.005 HHI shifts vs</w:t>
      </w:r>
      <w:r>
        <w:t xml:space="preserve"> </w:t>
      </w:r>
      <w:r>
        <w:t xml:space="preserve">top-1000 baseline, confirming the top-1000 methodology floor.</w:t>
      </w:r>
    </w:p>
    <w:p>
      <w:pPr>
        <w:pStyle w:val="BodyText"/>
      </w:pPr>
      <w:r>
        <w:t xml:space="preserve">¶ Solana voting HHI values from on-chain governance program parsing</w:t>
      </w:r>
      <w:r>
        <w:t xml:space="preserve"> </w:t>
      </w:r>
      <w:r>
        <w:t xml:space="preserve">via Helius RPC and Dune decoded namespace: JUP via</w:t>
      </w:r>
      <w:r>
        <w:t xml:space="preserve"> </w:t>
      </w:r>
      <w:r>
        <w:rPr>
          <w:rStyle w:val="VerbatimChar"/>
        </w:rPr>
        <w:t xml:space="preserve">jupiter_solana.govern_call_setvote</w:t>
      </w:r>
      <w:r>
        <w:t xml:space="preserve"> </w:t>
      </w:r>
      <w:r>
        <w:t xml:space="preserve">(per-signer max(weight) aggregation; delegated-vote design; each token</w:t>
      </w:r>
      <w:r>
        <w:t xml:space="preserve"> </w:t>
      </w:r>
      <w:r>
        <w:t xml:space="preserve">equals one vote); HNT and DRIFT via Voter Stake Registry (VSR)</w:t>
      </w:r>
      <w:r>
        <w:t xml:space="preserve"> </w:t>
      </w:r>
      <w:r>
        <w:t xml:space="preserve">lockup-weighted vote design where vote weight is locked-amount</w:t>
      </w:r>
      <w:r>
        <w:t xml:space="preserve"> </w:t>
      </w:r>
      <w:r>
        <w:t xml:space="preserve">multiplied by lockup-duration multiplier (HNT VSR saturates at four-year</w:t>
      </w:r>
      <w:r>
        <w:t xml:space="preserve"> </w:t>
      </w:r>
      <w:r>
        <w:t xml:space="preserve">lockup; DRIFT VSR uses analogous lockup multiplier; both classified as</w:t>
      </w:r>
      <w:r>
        <w:t xml:space="preserve"> </w:t>
      </w:r>
      <w:r>
        <w:t xml:space="preserve">VSR-lockup-weighted per DRIFT cycle source memo). HNT presented as</w:t>
      </w:r>
      <w:r>
        <w:t xml:space="preserve"> </w:t>
      </w:r>
      <w:r>
        <w:t xml:space="preserve">sensitivity range under VSR position-state reconstruction with 14.8</w:t>
      </w:r>
      <w:r>
        <w:t xml:space="preserve"> </w:t>
      </w:r>
      <w:r>
        <w:t xml:space="preserve">percent closed-position rate bracketing the bounds. The within-Solana</w:t>
      </w:r>
      <w:r>
        <w:t xml:space="preserve"> </w:t>
      </w:r>
      <w:r>
        <w:t xml:space="preserve">sample (N=3) is discussed in Section 4.5.4 within-Solana governance</w:t>
      </w:r>
      <w:r>
        <w:t xml:space="preserve"> </w:t>
      </w:r>
      <w:r>
        <w:t xml:space="preserve">heterogeneity subsection; JUP at 0.057x ratio is the most-extreme</w:t>
      </w:r>
      <w:r>
        <w:t xml:space="preserve"> </w:t>
      </w:r>
      <w:r>
        <w:t xml:space="preserve">dispersion outlier in the cross-section.</w:t>
      </w:r>
    </w:p>
    <w:p>
      <w:pPr>
        <w:pStyle w:val="BodyText"/>
      </w:pPr>
      <w:r>
        <w:drawing>
          <wp:inline>
            <wp:extent cx="5334000" cy="3664167"/>
            <wp:effectExtent b="0" l="0" r="0" t="0"/>
            <wp:docPr descr="" title="" id="58" name="Picture"/>
            <a:graphic>
              <a:graphicData uri="http://schemas.openxmlformats.org/drawingml/2006/picture">
                <pic:pic>
                  <pic:nvPicPr>
                    <pic:cNvPr descr="media/exhibit_delegation_adjusted.png" id="59" name="Picture"/>
                    <pic:cNvPicPr>
                      <a:picLocks noChangeArrowheads="1" noChangeAspect="1"/>
                    </pic:cNvPicPr>
                  </pic:nvPicPr>
                  <pic:blipFill>
                    <a:blip r:embed="rId57"/>
                    <a:stretch>
                      <a:fillRect/>
                    </a:stretch>
                  </pic:blipFill>
                  <pic:spPr bwMode="auto">
                    <a:xfrm>
                      <a:off x="0" y="0"/>
                      <a:ext cx="5334000" cy="3664167"/>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Raw holding HHI (lower bar) vs. delegation-adjusted</w:t>
      </w:r>
      <w:r>
        <w:rPr>
          <w:i/>
          <w:iCs/>
        </w:rPr>
        <w:t xml:space="preserve"> </w:t>
      </w:r>
      <w:r>
        <w:rPr>
          <w:i/>
          <w:iCs/>
        </w:rPr>
        <w:t xml:space="preserve">voting HHI (upper bar) for ten Tally- and Snapshot-sourced protocols,</w:t>
      </w:r>
      <w:r>
        <w:rPr>
          <w:i/>
          <w:iCs/>
        </w:rPr>
        <w:t xml:space="preserve"> </w:t>
      </w:r>
      <w:r>
        <w:rPr>
          <w:i/>
          <w:iCs/>
        </w:rPr>
        <w:t xml:space="preserve">sorted by amplification ratio. Reading the figure: the ratio label at</w:t>
      </w:r>
      <w:r>
        <w:rPr>
          <w:i/>
          <w:iCs/>
        </w:rPr>
        <w:t xml:space="preserve"> </w:t>
      </w:r>
      <w:r>
        <w:rPr>
          <w:i/>
          <w:iCs/>
        </w:rPr>
        <w:t xml:space="preserve">the right of each pair gives voting HHI divided by holding HHI; ratios</w:t>
      </w:r>
      <w:r>
        <w:rPr>
          <w:i/>
          <w:iCs/>
        </w:rPr>
        <w:t xml:space="preserve"> </w:t>
      </w:r>
      <w:r>
        <w:rPr>
          <w:i/>
          <w:iCs/>
        </w:rPr>
        <w:t xml:space="preserve">above 1.0 indicate delegation amplifies concentration (the upper bar</w:t>
      </w:r>
      <w:r>
        <w:rPr>
          <w:i/>
          <w:iCs/>
        </w:rPr>
        <w:t xml:space="preserve"> </w:t>
      </w:r>
      <w:r>
        <w:rPr>
          <w:i/>
          <w:iCs/>
        </w:rPr>
        <w:t xml:space="preserve">is longer than the lower bar; green annotation), ratios below 1.0</w:t>
      </w:r>
      <w:r>
        <w:rPr>
          <w:i/>
          <w:iCs/>
        </w:rPr>
        <w:t xml:space="preserve"> </w:t>
      </w:r>
      <w:r>
        <w:rPr>
          <w:i/>
          <w:iCs/>
        </w:rPr>
        <w:t xml:space="preserve">indicate delegation distributes it (red annotation). Eight of ten</w:t>
      </w:r>
      <w:r>
        <w:rPr>
          <w:i/>
          <w:iCs/>
        </w:rPr>
        <w:t xml:space="preserve"> </w:t>
      </w:r>
      <w:r>
        <w:rPr>
          <w:i/>
          <w:iCs/>
        </w:rPr>
        <w:t xml:space="preserve">EVM/EVM-like protocols sampled show amplification, with ratios ranging from 2.7x</w:t>
      </w:r>
      <w:r>
        <w:rPr>
          <w:i/>
          <w:iCs/>
        </w:rPr>
        <w:t xml:space="preserve"> </w:t>
      </w:r>
      <w:r>
        <w:rPr>
          <w:i/>
          <w:iCs/>
        </w:rPr>
        <w:t xml:space="preserve">(Uniswap) to 9.9x (Compound); two protocols (ENS at 0.45x and GMX at</w:t>
      </w:r>
      <w:r>
        <w:rPr>
          <w:i/>
          <w:iCs/>
        </w:rPr>
        <w:t xml:space="preserve"> </w:t>
      </w:r>
      <w:r>
        <w:rPr>
          <w:i/>
          <w:iCs/>
        </w:rPr>
        <w:t xml:space="preserve">0.87x) show dispersion (Section 4.5.1 + Section 4.5.1.1). The N=13 cross-section (with three Solana-native protocols: JUP delegated-vote 0.057x dispersion; HNT VSR 0.35x-0.53x dispersion; DRIFT VSR 1.6x amplification per Section 4.5.4 within-Solana heterogeneity discussion) shows nine of thirteen protocols amplify with four structural exceptions (ENS + GMX + HNT + JUP; JUP at 0.057x is the most-extreme dispersion outlier). Figure values:</w:t>
      </w:r>
      <w:r>
        <w:rPr>
          <w:i/>
          <w:iCs/>
        </w:rPr>
        <w:t xml:space="preserve"> </w:t>
      </w:r>
      <w:r>
        <w:rPr>
          <w:i/>
          <w:iCs/>
        </w:rPr>
        <w:t xml:space="preserve">Snapshot rows aggregate unique voters across all proposals in the 12-month rolling</w:t>
      </w:r>
      <w:r>
        <w:rPr>
          <w:i/>
          <w:iCs/>
        </w:rPr>
        <w:t xml:space="preserve"> </w:t>
      </w:r>
      <w:r>
        <w:rPr>
          <w:i/>
          <w:iCs/>
        </w:rPr>
        <w:t xml:space="preserve">window 2025-05-22 to 2026-05-22; Tally rows reflect top-1000 delegate</w:t>
      </w:r>
      <w:r>
        <w:rPr>
          <w:i/>
          <w:iCs/>
        </w:rPr>
        <w:t xml:space="preserve"> </w:t>
      </w:r>
      <w:r>
        <w:rPr>
          <w:i/>
          <w:iCs/>
        </w:rPr>
        <w:t xml:space="preserve">samples per protocol.</w:t>
      </w:r>
    </w:p>
    <w:p>
      <w:pPr>
        <w:pStyle w:val="BodyText"/>
      </w:pPr>
      <w:r>
        <w:t xml:space="preserve">Seven DeFi protocols sampled show varying delegation outcomes: JUP</w:t>
      </w:r>
      <w:r>
        <w:t xml:space="preserve"> </w:t>
      </w:r>
      <w:r>
        <w:t xml:space="preserve">(0.057x, most-extreme dispersion outlier per Section 4.5.4 Solana</w:t>
      </w:r>
      <w:r>
        <w:t xml:space="preserve"> </w:t>
      </w:r>
      <w:r>
        <w:t xml:space="preserve">delegated-vote with broad-airdrop-user-base mechanism), GMX (0.87x, disperses; methodology-sensitive crossover from amplification 1.2x at top-100 sample to dispersion at top-1000 sample; Section 4.5.1.1), DRIFT (1.6x, mild amplifier and the</w:t>
      </w:r>
      <w:r>
        <w:t xml:space="preserve"> </w:t>
      </w:r>
      <w:r>
        <w:t xml:space="preserve">lowest amplifier in the cross-section; Solana VSR-lockup-weighted per</w:t>
      </w:r>
      <w:r>
        <w:t xml:space="preserve"> </w:t>
      </w:r>
      <w:r>
        <w:t xml:space="preserve">Section 4.5.4), Uniswap (2.7x), Aave (4.4x), Lido</w:t>
      </w:r>
      <w:r>
        <w:t xml:space="preserve"> </w:t>
      </w:r>
      <w:r>
        <w:t xml:space="preserve">(6.3x), and Compound (9.9x; the highest in the</w:t>
      </w:r>
      <w:r>
        <w:t xml:space="preserve"> </w:t>
      </w:r>
      <w:r>
        <w:t xml:space="preserve">cross-protocol sample). The Uniswap result is</w:t>
      </w:r>
      <w:r>
        <w:t xml:space="preserve"> </w:t>
      </w:r>
      <w:r>
        <w:t xml:space="preserve">worth examining in detail. Earlier analyses, using a holding HHI of</w:t>
      </w:r>
      <w:r>
        <w:t xml:space="preserve"> </w:t>
      </w:r>
      <w:r>
        <w:t xml:space="preserve">0.032, produced an amplification ratio of 0.84x and were cited as</w:t>
      </w:r>
      <w:r>
        <w:t xml:space="preserve"> </w:t>
      </w:r>
      <w:r>
        <w:t xml:space="preserve">evidence that Uniswap’s mature delegate ecosystem can disperse</w:t>
      </w:r>
      <w:r>
        <w:t xml:space="preserve"> </w:t>
      </w:r>
      <w:r>
        <w:t xml:space="preserve">governance power. That earlier HHI included the canonical UNI burn</w:t>
      </w:r>
      <w:r>
        <w:t xml:space="preserve"> </w:t>
      </w:r>
      <w:r>
        <w:t xml:space="preserve">address (0x000…000dead), which holds 102.5 million UNI (11.3 percent</w:t>
      </w:r>
      <w:r>
        <w:t xml:space="preserve"> </w:t>
      </w:r>
      <w:r>
        <w:t xml:space="preserve">of supply) inert and cannot participate in governance under any</w:t>
      </w:r>
      <w:r>
        <w:t xml:space="preserve"> </w:t>
      </w:r>
      <w:r>
        <w:t xml:space="preserve">condition: it has no delegate, no votes, and no path to ever cast one.</w:t>
      </w:r>
      <w:r>
        <w:t xml:space="preserve"> </w:t>
      </w:r>
      <w:r>
        <w:t xml:space="preserve">After excluding this burn address, the post-exclusion holding HHI is 0.010,</w:t>
      </w:r>
      <w:r>
        <w:t xml:space="preserve"> </w:t>
      </w:r>
      <w:r>
        <w:t xml:space="preserve">and the amplification ratio is 2.8x. Uniswap’s delegate program</w:t>
      </w:r>
      <w:r>
        <w:t xml:space="preserve"> </w:t>
      </w:r>
      <w:r>
        <w:t xml:space="preserve">concentrates voting power above its post-exclusion holding baseline,</w:t>
      </w:r>
      <w:r>
        <w:t xml:space="preserve"> </w:t>
      </w:r>
      <w:r>
        <w:t xml:space="preserve">in line with every other protocol sampled. The pre-exclusion</w:t>
      </w:r>
      <w:r>
        <w:t xml:space="preserve"> </w:t>
      </w:r>
      <w:r>
        <w:t xml:space="preserve">result was driven by including a wallet that structurally cannot vote</w:t>
      </w:r>
      <w:r>
        <w:t xml:space="preserve"> </w:t>
      </w:r>
      <w:r>
        <w:t xml:space="preserve">in the holding denominator.</w:t>
      </w:r>
    </w:p>
    <w:p>
      <w:pPr>
        <w:pStyle w:val="BodyText"/>
      </w:pPr>
      <w:r>
        <w:t xml:space="preserve">Both infrastructure protocols sampled show delegation amplification</w:t>
      </w:r>
      <w:r>
        <w:t xml:space="preserve"> </w:t>
      </w:r>
      <w:r>
        <w:t xml:space="preserve">when holding HHIs are computed with the same exclusions applied to</w:t>
      </w:r>
      <w:r>
        <w:t xml:space="preserve"> </w:t>
      </w:r>
      <w:r>
        <w:t xml:space="preserve">Table 3. Optimism’s voting HHI (0.033) is 3.6 times its post-exclusion</w:t>
      </w:r>
      <w:r>
        <w:t xml:space="preserve"> </w:t>
      </w:r>
      <w:r>
        <w:t xml:space="preserve">holding HHI (0.009). Arbitrum’s voting HHI (0.038)</w:t>
      </w:r>
      <w:r>
        <w:t xml:space="preserve"> </w:t>
      </w:r>
      <w:r>
        <w:t xml:space="preserve">is 3.1 times its holding HHI (0.012). Both protocols have invested in</w:t>
      </w:r>
      <w:r>
        <w:t xml:space="preserve"> </w:t>
      </w:r>
      <w:r>
        <w:t xml:space="preserve">delegate-program infrastructure (published delegate platforms, recurring</w:t>
      </w:r>
      <w:r>
        <w:t xml:space="preserve"> </w:t>
      </w:r>
      <w:r>
        <w:t xml:space="preserve">delegate compensation, active recruitment of long-form policy positions),</w:t>
      </w:r>
      <w:r>
        <w:t xml:space="preserve"> </w:t>
      </w:r>
      <w:r>
        <w:t xml:space="preserve">and both produce amplification ratios in the 3.1x to 3.6x range, which</w:t>
      </w:r>
      <w:r>
        <w:t xml:space="preserve"> </w:t>
      </w:r>
      <w:r>
        <w:t xml:space="preserve">sits below the cross-protocol mean. Delegate-program investment</w:t>
      </w:r>
      <w:r>
        <w:t xml:space="preserve"> </w:t>
      </w:r>
      <w:r>
        <w:t xml:space="preserve">does not differentiate the two protocols on amplification magnitude.</w:t>
      </w:r>
      <w:r>
        <w:t xml:space="preserve"> </w:t>
      </w:r>
      <w:r>
        <w:t xml:space="preserve">The institutional layers built around the delegate programs differ</w:t>
      </w:r>
      <w:r>
        <w:t xml:space="preserve"> </w:t>
      </w:r>
      <w:r>
        <w:t xml:space="preserve">substantially and may differentiate outcomes that HHI cannot capture,</w:t>
      </w:r>
      <w:r>
        <w:t xml:space="preserve"> </w:t>
      </w:r>
      <w:r>
        <w:t xml:space="preserve">as discussed in the next paragraph.</w:t>
      </w:r>
    </w:p>
    <w:p>
      <w:pPr>
        <w:pStyle w:val="BodyText"/>
      </w:pPr>
      <w:r>
        <w:t xml:space="preserve">Optimism’s Token House shows 3.6x delegation amplification, below the cross-protocol mean but consistent with the universal direction</w:t>
      </w:r>
      <w:r>
        <w:t xml:space="preserve"> </w:t>
      </w:r>
      <w:r>
        <w:t xml:space="preserve">of effect. The Citizens’ House moderates</w:t>
      </w:r>
      <w:r>
        <w:t xml:space="preserve"> </w:t>
      </w:r>
      <w:r>
        <w:t xml:space="preserve">Optimism’s governance in practice, though it does not enter the</w:t>
      </w:r>
      <w:r>
        <w:t xml:space="preserve"> </w:t>
      </w:r>
      <w:r>
        <w:t xml:space="preserve">token-weighted HHI calculation. The Citizens’ House is a separate</w:t>
      </w:r>
      <w:r>
        <w:t xml:space="preserve"> </w:t>
      </w:r>
      <w:r>
        <w:t xml:space="preserve">governance body weighted by reputation rather than tokens, with formal</w:t>
      </w:r>
      <w:r>
        <w:t xml:space="preserve"> </w:t>
      </w:r>
      <w:r>
        <w:t xml:space="preserve">veto power over economic parameters proposed by the Token House and a</w:t>
      </w:r>
      <w:r>
        <w:t xml:space="preserve"> </w:t>
      </w:r>
      <w:r>
        <w:t xml:space="preserve">veto threshold that lowers when multiple stakeholder groups align</w:t>
      </w:r>
      <w:r>
        <w:t xml:space="preserve"> </w:t>
      </w:r>
      <w:r>
        <w:t xml:space="preserve">(Optimism, 2024). Because reputation weights are not token weights, the</w:t>
      </w:r>
      <w:r>
        <w:t xml:space="preserve"> </w:t>
      </w:r>
      <w:r>
        <w:t xml:space="preserve">Citizens’ House provides accountability that the amplification ratio</w:t>
      </w:r>
      <w:r>
        <w:t xml:space="preserve"> </w:t>
      </w:r>
      <w:r>
        <w:t xml:space="preserve">alone cannot capture.</w:t>
      </w:r>
    </w:p>
    <w:p>
      <w:pPr>
        <w:pStyle w:val="BodyText"/>
      </w:pPr>
      <w:r>
        <w:t xml:space="preserve">Lido’s 6.3x amplification</w:t>
      </w:r>
      <w:r>
        <w:t xml:space="preserve"> </w:t>
      </w:r>
      <w:r>
        <w:t xml:space="preserve">catalyzed a parallel institutional response. The</w:t>
      </w:r>
      <w:r>
        <w:t xml:space="preserve"> </w:t>
      </w:r>
      <w:r>
        <w:t xml:space="preserve">“Dual Governance”</w:t>
      </w:r>
      <w:r>
        <w:t xml:space="preserve"> </w:t>
      </w:r>
      <w:r>
        <w:t xml:space="preserve">redesign grants stETH holders formal veto power over LDO governance</w:t>
      </w:r>
      <w:r>
        <w:t xml:space="preserve"> </w:t>
      </w:r>
      <w:r>
        <w:t xml:space="preserve">proposals, with a programmatic</w:t>
      </w:r>
      <w:r>
        <w:t xml:space="preserve"> </w:t>
      </w:r>
      <w:r>
        <w:t xml:space="preserve">“rage quit”</w:t>
      </w:r>
      <w:r>
        <w:t xml:space="preserve"> </w:t>
      </w:r>
      <w:r>
        <w:t xml:space="preserve">exit mechanism as the</w:t>
      </w:r>
      <w:r>
        <w:t xml:space="preserve"> </w:t>
      </w:r>
      <w:r>
        <w:t xml:space="preserve">ultimate accountability lever. The reform precedes the holding-HHI</w:t>
      </w:r>
      <w:r>
        <w:t xml:space="preserve"> </w:t>
      </w:r>
      <w:r>
        <w:t xml:space="preserve">recomputation reported here and was justified at the time by the</w:t>
      </w:r>
      <w:r>
        <w:t xml:space="preserve"> </w:t>
      </w:r>
      <w:r>
        <w:t xml:space="preserve">amplification ratio measured from a curated active-governance holder</w:t>
      </w:r>
      <w:r>
        <w:t xml:space="preserve"> </w:t>
      </w:r>
      <w:r>
        <w:t xml:space="preserve">subset (N = 189; minimum balance threshold approximately 414K LDO).</w:t>
      </w:r>
      <w:r>
        <w:t xml:space="preserve"> </w:t>
      </w:r>
      <w:r>
        <w:t xml:space="preserve">Under the universal top-1000 holder methodology applied in this</w:t>
      </w:r>
      <w:r>
        <w:t xml:space="preserve"> </w:t>
      </w:r>
      <w:r>
        <w:t xml:space="preserve">manuscript with the full protocol-controlled-address audit (Section</w:t>
      </w:r>
      <w:r>
        <w:t xml:space="preserve"> </w:t>
      </w:r>
      <w:r>
        <w:t xml:space="preserve">3.9; Bybit and Binance custody addresses excluded as Class 5 CEX</w:t>
      </w:r>
      <w:r>
        <w:t xml:space="preserve"> </w:t>
      </w:r>
      <w:r>
        <w:t xml:space="preserve">custody), Lido’s amplification ratio is the most extreme in the</w:t>
      </w:r>
      <w:r>
        <w:t xml:space="preserve"> </w:t>
      </w:r>
      <w:r>
        <w:t xml:space="preserve">sample, and the direction (concentration above stake) is consistent</w:t>
      </w:r>
      <w:r>
        <w:t xml:space="preserve"> </w:t>
      </w:r>
      <w:r>
        <w:t xml:space="preserve">with the predominant-amplification pattern documented across nine of thirteen</w:t>
      </w:r>
      <w:r>
        <w:t xml:space="preserve"> </w:t>
      </w:r>
      <w:r>
        <w:t xml:space="preserve">protocols.</w:t>
      </w:r>
    </w:p>
    <w:p>
      <w:pPr>
        <w:pStyle w:val="BodyText"/>
      </w:pPr>
      <w:r>
        <w:t xml:space="preserve">Both responses share the same shape. Token-weighted delegation</w:t>
      </w:r>
      <w:r>
        <w:t xml:space="preserve"> </w:t>
      </w:r>
      <w:r>
        <w:t xml:space="preserve">concentrates voting power above stake holdings across the sample, and</w:t>
      </w:r>
      <w:r>
        <w:t xml:space="preserve"> </w:t>
      </w:r>
      <w:r>
        <w:t xml:space="preserve">the institutional reforms operate by adding an accountability layer</w:t>
      </w:r>
      <w:r>
        <w:t xml:space="preserve"> </w:t>
      </w:r>
      <w:r>
        <w:t xml:space="preserve">outside the token-weighted system rather than redesigning the</w:t>
      </w:r>
      <w:r>
        <w:t xml:space="preserve"> </w:t>
      </w:r>
      <w:r>
        <w:t xml:space="preserve">delegation mechanism itself. Both protocols with named accountability</w:t>
      </w:r>
      <w:r>
        <w:t xml:space="preserve"> </w:t>
      </w:r>
      <w:r>
        <w:t xml:space="preserve">reforms (Optimism, Lido) are protocols where token-weighted delegation</w:t>
      </w:r>
      <w:r>
        <w:t xml:space="preserve"> </w:t>
      </w:r>
      <w:r>
        <w:t xml:space="preserve">shows positive amplification, consistent with reading these reforms as</w:t>
      </w:r>
      <w:r>
        <w:t xml:space="preserve"> </w:t>
      </w:r>
      <w:r>
        <w:t xml:space="preserve">responses to the predominant-amplification pattern that this section</w:t>
      </w:r>
      <w:r>
        <w:t xml:space="preserve"> </w:t>
      </w:r>
      <w:r>
        <w:t xml:space="preserve">documents.</w:t>
      </w:r>
    </w:p>
    <w:p>
      <w:pPr>
        <w:pStyle w:val="BodyText"/>
      </w:pPr>
      <w:r>
        <w:t xml:space="preserve">The delegation-adjusted analysis reported in this section extends</w:t>
      </w:r>
      <w:r>
        <w:t xml:space="preserve"> </w:t>
      </w:r>
      <w:r>
        <w:t xml:space="preserve">recent empirical work by Fritsch, Müller, and Wattenhofer (2024), who</w:t>
      </w:r>
      <w:r>
        <w:t xml:space="preserve"> </w:t>
      </w:r>
      <w:r>
        <w:t xml:space="preserve">apply Nakamoto coefficients and Gini measures to voting power in</w:t>
      </w:r>
      <w:r>
        <w:t xml:space="preserve"> </w:t>
      </w:r>
      <w:r>
        <w:t xml:space="preserve">Compound, Uniswap, and ENS governance systems and document extreme</w:t>
      </w:r>
      <w:r>
        <w:t xml:space="preserve"> </w:t>
      </w:r>
      <w:r>
        <w:t xml:space="preserve">concentration in delegate-level voting power. The cross-protocol</w:t>
      </w:r>
      <w:r>
        <w:t xml:space="preserve"> </w:t>
      </w:r>
      <w:r>
        <w:t xml:space="preserve">comparison reported here spans thirteen protocols across DeFi (Compound,</w:t>
      </w:r>
      <w:r>
        <w:t xml:space="preserve"> </w:t>
      </w:r>
      <w:r>
        <w:t xml:space="preserve">Aave, Uniswap, GMX, Lido), DePIN (DIMO, WeatherXM), and infrastructure</w:t>
      </w:r>
      <w:r>
        <w:t xml:space="preserve"> </w:t>
      </w:r>
      <w:r>
        <w:t xml:space="preserve">(Optimism, Arbitrum, ENS). Amplification factors range from 1.6x (DRIFT)</w:t>
      </w:r>
      <w:r>
        <w:t xml:space="preserve"> </w:t>
      </w:r>
      <w:r>
        <w:t xml:space="preserve">to 9.9x (Compound) across the nine amplifying protocols; ENS at 0.45x; GMX at 0.87x; HNT at 0.35x-0.53x; and JUP at 0.057x are</w:t>
      </w:r>
      <w:r>
        <w:t xml:space="preserve"> </w:t>
      </w:r>
      <w:r>
        <w:t xml:space="preserve">the four structural exceptions (ENS: mature delegate program where holders</w:t>
      </w:r>
      <w:r>
        <w:t xml:space="preserve"> </w:t>
      </w:r>
      <w:r>
        <w:t xml:space="preserve">systematically delegate to a broad community-delegate set; GMX: methodology-sensitive crossover per Section 4.5.1.1; HNT: Solana VSR lockup-weighted design per Section 4.5.4; JUP: Solana delegated-vote with broad airdrop user base per Section 4.5.4; JUP at 0.057x is the most-extreme dispersion outlier in the cross-section). Within the</w:t>
      </w:r>
      <w:r>
        <w:t xml:space="preserve"> </w:t>
      </w:r>
      <w:r>
        <w:t xml:space="preserve">sample, the 1.6x to 9.9x amplification range is distributed across</w:t>
      </w:r>
      <w:r>
        <w:t xml:space="preserve"> </w:t>
      </w:r>
      <w:r>
        <w:t xml:space="preserve">sectors with no clear concentration in any one; sector membership does</w:t>
      </w:r>
      <w:r>
        <w:t xml:space="preserve"> </w:t>
      </w:r>
      <w:r>
        <w:t xml:space="preserve">is not associated with how strongly delegation concentrates power.</w:t>
      </w:r>
    </w:p>
    <w:p>
      <w:pPr>
        <w:pStyle w:val="BodyText"/>
      </w:pPr>
      <w:r>
        <w:t xml:space="preserve">The pattern is consistent with the broader claim of this paper: design</w:t>
      </w:r>
      <w:r>
        <w:t xml:space="preserve"> </w:t>
      </w:r>
      <w:r>
        <w:t xml:space="preserve">choices within each delegate program (delegate selection criteria,</w:t>
      </w:r>
      <w:r>
        <w:t xml:space="preserve"> </w:t>
      </w:r>
      <w:r>
        <w:t xml:space="preserve">compensation structure, voting threshold rules) determine the magnitude</w:t>
      </w:r>
      <w:r>
        <w:t xml:space="preserve"> </w:t>
      </w:r>
      <w:r>
        <w:t xml:space="preserve">of governance concentration through delegation, while the direction of</w:t>
      </w:r>
      <w:r>
        <w:t xml:space="preserve"> </w:t>
      </w:r>
      <w:r>
        <w:t xml:space="preserve">the effect (concentration above holdings) is the same across sector</w:t>
      </w:r>
      <w:r>
        <w:t xml:space="preserve"> </w:t>
      </w:r>
      <w:r>
        <w:t xml:space="preserve">and governance venue. Whether a protocol concentrates governance power</w:t>
      </w:r>
      <w:r>
        <w:t xml:space="preserve"> </w:t>
      </w:r>
      <w:r>
        <w:t xml:space="preserve">through delegation does not depend on whether it is DeFi, DePIN, or</w:t>
      </w:r>
      <w:r>
        <w:t xml:space="preserve"> </w:t>
      </w:r>
      <w:r>
        <w:t xml:space="preserve">infrastructure. How much it concentrates is shaped by design choices</w:t>
      </w:r>
      <w:r>
        <w:t xml:space="preserve"> </w:t>
      </w:r>
      <w:r>
        <w:t xml:space="preserve">made at the level of the delegate program itself. The amplification</w:t>
      </w:r>
      <w:r>
        <w:t xml:space="preserve"> </w:t>
      </w:r>
      <w:r>
        <w:t xml:space="preserve">ratio carries welfare consequences for DePIN that scale with operator</w:t>
      </w:r>
      <w:r>
        <w:t xml:space="preserve"> </w:t>
      </w:r>
      <w:r>
        <w:t xml:space="preserve">exit costs, since hardware deployed for one network cannot be</w:t>
      </w:r>
      <w:r>
        <w:t xml:space="preserve"> </w:t>
      </w:r>
      <w:r>
        <w:t xml:space="preserve">redeployed to a competing protocol the way liquidity can move between</w:t>
      </w:r>
      <w:r>
        <w:t xml:space="preserve"> </w:t>
      </w:r>
      <w:r>
        <w:t xml:space="preserve">DeFi pools.</w:t>
      </w:r>
    </w:p>
    <w:bookmarkStart w:id="60" w:name="X5aa57646c4396d747e0131ec008a4e3f93d4422"/>
    <w:p>
      <w:pPr>
        <w:pStyle w:val="Heading3"/>
      </w:pPr>
      <w:r>
        <w:t xml:space="preserve">4.5.1 ENS as institutional-design counterexample</w:t>
      </w:r>
    </w:p>
    <w:p>
      <w:pPr>
        <w:pStyle w:val="FirstParagraph"/>
      </w:pPr>
      <w:r>
        <w:t xml:space="preserve">ENS is one of two protocols in the cross-section where delegation</w:t>
      </w:r>
      <w:r>
        <w:t xml:space="preserve"> </w:t>
      </w:r>
      <w:r>
        <w:t xml:space="preserve">empirically disperses voting power below the holding-HHI baseline</w:t>
      </w:r>
      <w:r>
        <w:t xml:space="preserve"> </w:t>
      </w:r>
      <w:r>
        <w:t xml:space="preserve">(ratio 0.45x; voting HHI 0.022 vs holding HHI 0.049, the latter</w:t>
      </w:r>
      <w:r>
        <w:t xml:space="preserve"> </w:t>
      </w:r>
      <w:r>
        <w:t xml:space="preserve">computed after the ENS DAO Wallet and Treasury PCA exclusions</w:t>
      </w:r>
      <w:r>
        <w:t xml:space="preserve"> </w:t>
      </w:r>
      <w:r>
        <w:t xml:space="preserve">codified in Section 3.8). The dispersion case is informative for</w:t>
      </w:r>
      <w:r>
        <w:t xml:space="preserve"> </w:t>
      </w:r>
      <w:r>
        <w:t xml:space="preserve">the framework’s institutional-design thesis because it provides an</w:t>
      </w:r>
      <w:r>
        <w:t xml:space="preserve"> </w:t>
      </w:r>
      <w:r>
        <w:t xml:space="preserve">existence-proof that delegation outcomes are design-tractable rather</w:t>
      </w:r>
      <w:r>
        <w:t xml:space="preserve"> </w:t>
      </w:r>
      <w:r>
        <w:t xml:space="preserve">than mechanism-inevitable. The ENS delegate program funds approximately</w:t>
      </w:r>
      <w:r>
        <w:t xml:space="preserve"> </w:t>
      </w:r>
      <w:r>
        <w:t xml:space="preserve">100 active delegates (including the ENS DAO ecosystem grants for</w:t>
      </w:r>
      <w:r>
        <w:t xml:space="preserve"> </w:t>
      </w:r>
      <w:r>
        <w:t xml:space="preserve">delegate work), and the top-100 delegate voting-power distribution is</w:t>
      </w:r>
      <w:r>
        <w:t xml:space="preserve"> </w:t>
      </w:r>
      <w:r>
        <w:t xml:space="preserve">structurally broader than the holding distribution: top-1 post-exclusion</w:t>
      </w:r>
      <w:r>
        <w:t xml:space="preserve"> </w:t>
      </w:r>
      <w:r>
        <w:t xml:space="preserve">holding share is 16.8% while top-1 voting-power share is 12.1%</w:t>
      </w:r>
      <w:r>
        <w:t xml:space="preserve"> </w:t>
      </w:r>
      <w:r>
        <w:t xml:space="preserve">(fireeyesdao.eth, a community-elected delegate). Holders systematically</w:t>
      </w:r>
      <w:r>
        <w:t xml:space="preserve"> </w:t>
      </w:r>
      <w:r>
        <w:t xml:space="preserve">delegate to a broader community-delegate set rather than self-delegating</w:t>
      </w:r>
      <w:r>
        <w:t xml:space="preserve"> </w:t>
      </w:r>
      <w:r>
        <w:t xml:space="preserve">or delegating to whales.</w:t>
      </w:r>
    </w:p>
    <w:p>
      <w:pPr>
        <w:pStyle w:val="BodyText"/>
      </w:pPr>
      <w:r>
        <w:t xml:space="preserve">The ENS + GMX + HNT + JUP dispersion findings contrast with the nine protocols where delegation</w:t>
      </w:r>
      <w:r>
        <w:t xml:space="preserve"> </w:t>
      </w:r>
      <w:r>
        <w:t xml:space="preserve">amplifies: in those protocols, the top-delegate identity is typically</w:t>
      </w:r>
      <w:r>
        <w:t xml:space="preserve"> </w:t>
      </w:r>
      <w:r>
        <w:t xml:space="preserve">either the protocol foundation itself, a staking-aggregation contract</w:t>
      </w:r>
      <w:r>
        <w:t xml:space="preserve"> </w:t>
      </w:r>
      <w:r>
        <w:t xml:space="preserve">that aggregates underlying staker voting power, or an institutional</w:t>
      </w:r>
      <w:r>
        <w:t xml:space="preserve"> </w:t>
      </w:r>
      <w:r>
        <w:t xml:space="preserve">delegate firm (see Section 4.5.3). The structural pattern across the</w:t>
      </w:r>
      <w:r>
        <w:t xml:space="preserve"> </w:t>
      </w:r>
      <w:r>
        <w:t xml:space="preserve">thirteen-protocol sample is consistent with the framework’s thesis that</w:t>
      </w:r>
      <w:r>
        <w:t xml:space="preserve"> </w:t>
      </w:r>
      <w:r>
        <w:t xml:space="preserve">institutional design at the delegate-program level governs the</w:t>
      </w:r>
      <w:r>
        <w:t xml:space="preserve"> </w:t>
      </w:r>
      <w:r>
        <w:t xml:space="preserve">direction of delegation’s effect on voting concentration. The</w:t>
      </w:r>
      <w:r>
        <w:t xml:space="preserve"> </w:t>
      </w:r>
      <w:r>
        <w:t xml:space="preserve">generalizable design recommendation: delegate-program architectures</w:t>
      </w:r>
      <w:r>
        <w:t xml:space="preserve"> </w:t>
      </w:r>
      <w:r>
        <w:t xml:space="preserve">that incentivize broad community-delegate distribution (recurring</w:t>
      </w:r>
      <w:r>
        <w:t xml:space="preserve"> </w:t>
      </w:r>
      <w:r>
        <w:t xml:space="preserve">delegate compensation; public delegate platforms; active recruitment;</w:t>
      </w:r>
      <w:r>
        <w:t xml:space="preserve"> </w:t>
      </w:r>
      <w:r>
        <w:t xml:space="preserve">operational support for non-whale delegates) can produce</w:t>
      </w:r>
      <w:r>
        <w:t xml:space="preserve"> </w:t>
      </w:r>
      <w:r>
        <w:t xml:space="preserve">delegation-mediated dispersion of voting power, contrary to the</w:t>
      </w:r>
      <w:r>
        <w:t xml:space="preserve"> </w:t>
      </w:r>
      <w:r>
        <w:t xml:space="preserve">default-amplification pattern documented across most token-governance</w:t>
      </w:r>
      <w:r>
        <w:t xml:space="preserve"> </w:t>
      </w:r>
      <w:r>
        <w:t xml:space="preserve">protocols.</w:t>
      </w:r>
    </w:p>
    <w:bookmarkEnd w:id="60"/>
    <w:bookmarkStart w:id="61" w:name="Xb9bb0c744c0c00d44da48b17d4f1856fc3d061c"/>
    <w:p>
      <w:pPr>
        <w:pStyle w:val="Heading3"/>
      </w:pPr>
      <w:r>
        <w:t xml:space="preserve">4.5.1.1 GMX as second structural-exception counterexample</w:t>
      </w:r>
    </w:p>
    <w:p>
      <w:pPr>
        <w:pStyle w:val="FirstParagraph"/>
      </w:pPr>
      <w:r>
        <w:t xml:space="preserve">GMX is the second protocol in the cross-section where delegation</w:t>
      </w:r>
      <w:r>
        <w:t xml:space="preserve"> </w:t>
      </w:r>
      <w:r>
        <w:t xml:space="preserve">empirically disperses voting power below the holding-HHI baseline</w:t>
      </w:r>
      <w:r>
        <w:t xml:space="preserve"> </w:t>
      </w:r>
      <w:r>
        <w:t xml:space="preserve">(ratio 0.87x; voting HHI 0.057 vs holding HHI 0.065, the latter</w:t>
      </w:r>
      <w:r>
        <w:t xml:space="preserve"> </w:t>
      </w:r>
      <w:r>
        <w:t xml:space="preserve">computed after the universal burn-rule exclusion plus GMX-specific</w:t>
      </w:r>
      <w:r>
        <w:t xml:space="preserve"> </w:t>
      </w:r>
      <w:r>
        <w:t xml:space="preserve">Binance-custody exclusions codified in Section 3.8). The</w:t>
      </w:r>
      <w:r>
        <w:t xml:space="preserve"> </w:t>
      </w:r>
      <w:r>
        <w:t xml:space="preserve">dispersion case is methodology-sensitive: at a top-100 delegate sample</w:t>
      </w:r>
      <w:r>
        <w:t xml:space="preserve"> </w:t>
      </w:r>
      <w:r>
        <w:t xml:space="preserve">GMX appears to amplify at 1.2x, while at the canonical top-1000 sample</w:t>
      </w:r>
      <w:r>
        <w:t xml:space="preserve"> </w:t>
      </w:r>
      <w:r>
        <w:t xml:space="preserve">the broader delegate distribution surfaces voting-power-share tails</w:t>
      </w:r>
      <w:r>
        <w:t xml:space="preserve"> </w:t>
      </w:r>
      <w:r>
        <w:t xml:space="preserve">less concentrated than the holding-share tail at the same sampling</w:t>
      </w:r>
      <w:r>
        <w:t xml:space="preserve"> </w:t>
      </w:r>
      <w:r>
        <w:t xml:space="preserve">depth. The crossover from amplification (1.2x at N = 100) to dispersion</w:t>
      </w:r>
      <w:r>
        <w:t xml:space="preserve"> </w:t>
      </w:r>
      <w:r>
        <w:t xml:space="preserve">(0.87x at N = 1000) indicates that GMX top-100 amplification readings</w:t>
      </w:r>
      <w:r>
        <w:t xml:space="preserve"> </w:t>
      </w:r>
      <w:r>
        <w:t xml:space="preserve">are sampling-depth artifacts rather than stable properties of the</w:t>
      </w:r>
      <w:r>
        <w:t xml:space="preserve"> </w:t>
      </w:r>
      <w:r>
        <w:t xml:space="preserve">underlying delegate-program design; the top-1000 sample better captures</w:t>
      </w:r>
      <w:r>
        <w:t xml:space="preserve"> </w:t>
      </w:r>
      <w:r>
        <w:t xml:space="preserve">the actual voting-power distribution.</w:t>
      </w:r>
    </w:p>
    <w:p>
      <w:pPr>
        <w:pStyle w:val="BodyText"/>
      </w:pPr>
      <w:r>
        <w:t xml:space="preserve">The finding strengthens the framework’s institutional-design thesis: GMX’s</w:t>
      </w:r>
      <w:r>
        <w:t xml:space="preserve"> </w:t>
      </w:r>
      <w:r>
        <w:t xml:space="preserve">delegate program is observably broader than its holder concentration</w:t>
      </w:r>
      <w:r>
        <w:t xml:space="preserve"> </w:t>
      </w:r>
      <w:r>
        <w:t xml:space="preserve">when measured at appropriate sampling depth, consistent with the</w:t>
      </w:r>
      <w:r>
        <w:t xml:space="preserve"> </w:t>
      </w:r>
      <w:r>
        <w:t xml:space="preserve">mature-delegate-program pattern documented at ENS (Section 4.5.1) at</w:t>
      </w:r>
      <w:r>
        <w:t xml:space="preserve"> </w:t>
      </w:r>
      <w:r>
        <w:t xml:space="preserve">a different concentration level. The two structural-exception cases</w:t>
      </w:r>
      <w:r>
        <w:t xml:space="preserve"> </w:t>
      </w:r>
      <w:r>
        <w:t xml:space="preserve">(ENS at 0.45x; GMX at 0.87x) together preserve the dispersion pattern</w:t>
      </w:r>
      <w:r>
        <w:t xml:space="preserve"> </w:t>
      </w:r>
      <w:r>
        <w:t xml:space="preserve">as informative counterexample to the predominant-amplification thesis</w:t>
      </w:r>
      <w:r>
        <w:t xml:space="preserve"> </w:t>
      </w:r>
      <w:r>
        <w:t xml:space="preserve">rather than refuting the broader argument that token-weighted</w:t>
      </w:r>
      <w:r>
        <w:t xml:space="preserve"> </w:t>
      </w:r>
      <w:r>
        <w:t xml:space="preserve">delegation predominantly concentrates voting power above holdings.</w:t>
      </w:r>
    </w:p>
    <w:bookmarkEnd w:id="61"/>
    <w:bookmarkStart w:id="62" w:name="X8d1154e760574033fc3a8977858a046cb4bc3d4"/>
    <w:p>
      <w:pPr>
        <w:pStyle w:val="Heading3"/>
      </w:pPr>
      <w:r>
        <w:t xml:space="preserve">4.5.2 Secondary extension: vote-escrowed governance</w:t>
      </w:r>
    </w:p>
    <w:p>
      <w:pPr>
        <w:pStyle w:val="FirstParagraph"/>
      </w:pPr>
      <w:r>
        <w:t xml:space="preserve">Two protocols using vote-escrowed governance (Curve veCRV; Balancer</w:t>
      </w:r>
      <w:r>
        <w:t xml:space="preserve"> </w:t>
      </w:r>
      <w:r>
        <w:t xml:space="preserve">veBAL) form a distinct extreme-amplification class that operates</w:t>
      </w:r>
      <w:r>
        <w:t xml:space="preserve"> </w:t>
      </w:r>
      <w:r>
        <w:t xml:space="preserve">through structurally different mechanisms than the delegate-based</w:t>
      </w:r>
      <w:r>
        <w:t xml:space="preserve"> </w:t>
      </w:r>
      <w:r>
        <w:t xml:space="preserve">amplification documented in the Table 6 sample. Curve’s veCRV system</w:t>
      </w:r>
      <w:r>
        <w:t xml:space="preserve"> </w:t>
      </w:r>
      <w:r>
        <w:t xml:space="preserve">locks CRV for up to four years; lock-duration multipliers convert</w:t>
      </w:r>
      <w:r>
        <w:t xml:space="preserve"> </w:t>
      </w:r>
      <w:r>
        <w:t xml:space="preserve">locked CRV into proportional veCRV voting power, with longer locks</w:t>
      </w:r>
      <w:r>
        <w:t xml:space="preserve"> </w:t>
      </w:r>
      <w:r>
        <w:t xml:space="preserve">weighted more heavily. Convex (the dominant meta-governance protocol</w:t>
      </w:r>
      <w:r>
        <w:t xml:space="preserve"> </w:t>
      </w:r>
      <w:r>
        <w:t xml:space="preserve">for Curve) aggregates user-deposited CRV into a single locked position</w:t>
      </w:r>
      <w:r>
        <w:t xml:space="preserve"> </w:t>
      </w:r>
      <w:r>
        <w:t xml:space="preserve">that votes as a meta-governance layer; Convex holds approximately 48</w:t>
      </w:r>
      <w:r>
        <w:t xml:space="preserve"> </w:t>
      </w:r>
      <w:r>
        <w:t xml:space="preserve">percent of the top-50 historical veCRV deposit-weighted share per the</w:t>
      </w:r>
      <w:r>
        <w:t xml:space="preserve"> </w:t>
      </w:r>
      <w:r>
        <w:t xml:space="preserve">direct cumulative-deposit computation (Section 4.5.2; supplementary file</w:t>
      </w:r>
      <w:r>
        <w:t xml:space="preserve"> </w:t>
      </w:r>
      <w:r>
        <w:t xml:space="preserve">veCRV_voting_concentration). The resulting veCRV</w:t>
      </w:r>
      <w:r>
        <w:t xml:space="preserve"> </w:t>
      </w:r>
      <w:r>
        <w:t xml:space="preserve">voting concentration (HHI 0.26 from cumulative-deposit aggregation</w:t>
      </w:r>
      <w:r>
        <w:t xml:space="preserve"> </w:t>
      </w:r>
      <w:r>
        <w:t xml:space="preserve">across top-50 lockers) is approximately 15 times the raw post-Convex-</w:t>
      </w:r>
      <w:r>
        <w:t xml:space="preserve"> </w:t>
      </w:r>
      <w:r>
        <w:t xml:space="preserve">exclusion CRV holding HHI of 0.014.</w:t>
      </w:r>
    </w:p>
    <w:p>
      <w:pPr>
        <w:pStyle w:val="BodyText"/>
      </w:pPr>
      <w:r>
        <w:t xml:space="preserve">Balancer’s veBAL system exhibits a structurally identical pattern:</w:t>
      </w:r>
      <w:r>
        <w:t xml:space="preserve"> </w:t>
      </w:r>
      <w:r>
        <w:t xml:space="preserve">Snapshot voting on Balancer’s governance space (12-month lookback;</w:t>
      </w:r>
      <w:r>
        <w:t xml:space="preserve"> </w:t>
      </w:r>
      <w:r>
        <w:t xml:space="preserve">36 active voters) yields voting HHI 0.626 against holding HHI 0.030,</w:t>
      </w:r>
      <w:r>
        <w:t xml:space="preserve"> </w:t>
      </w:r>
      <w:r>
        <w:t xml:space="preserve">a 21x amplification ratio. The top-1 active voter holds 78 percent of</w:t>
      </w:r>
      <w:r>
        <w:t xml:space="preserve"> </w:t>
      </w:r>
      <w:r>
        <w:t xml:space="preserve">total voting power; the top-10 voters cumulatively hold 99.85 percent.</w:t>
      </w:r>
      <w:r>
        <w:t xml:space="preserve"> </w:t>
      </w:r>
      <w:r>
        <w:t xml:space="preserve">The Aura Finance protocol (Balancer’s Convex-equivalent</w:t>
      </w:r>
      <w:r>
        <w:t xml:space="preserve"> </w:t>
      </w:r>
      <w:r>
        <w:t xml:space="preserve">meta-governance aggregator) plays the same role for veBAL that Convex</w:t>
      </w:r>
      <w:r>
        <w:t xml:space="preserve"> </w:t>
      </w:r>
      <w:r>
        <w:t xml:space="preserve">plays for veCRV.</w:t>
      </w:r>
    </w:p>
    <w:p>
      <w:pPr>
        <w:pStyle w:val="BodyText"/>
      </w:pPr>
      <w:r>
        <w:t xml:space="preserve">The veCRV and veBAL cases are not included in the Table 6 row set</w:t>
      </w:r>
      <w:r>
        <w:t xml:space="preserve"> </w:t>
      </w:r>
      <w:r>
        <w:t xml:space="preserve">because the underlying methodology differs: Table 6 measures HHI of</w:t>
      </w:r>
      <w:r>
        <w:t xml:space="preserve"> </w:t>
      </w:r>
      <w:r>
        <w:t xml:space="preserve">delegate voting power within token-governance delegate programs; the</w:t>
      </w:r>
      <w:r>
        <w:t xml:space="preserve"> </w:t>
      </w:r>
      <w:r>
        <w:t xml:space="preserve">ve-token cases measure HHI of lock-duration-weighted CRV/BAL</w:t>
      </w:r>
      <w:r>
        <w:t xml:space="preserve"> </w:t>
      </w:r>
      <w:r>
        <w:t xml:space="preserve">deposits, with meta-governance aggregation. The two mechanism classes</w:t>
      </w:r>
      <w:r>
        <w:t xml:space="preserve"> </w:t>
      </w:r>
      <w:r>
        <w:t xml:space="preserve">produce concentration through different paths but converge on the</w:t>
      </w:r>
      <w:r>
        <w:t xml:space="preserve"> </w:t>
      </w:r>
      <w:r>
        <w:t xml:space="preserve">same direction (amplification) with much larger magnitudes (15-21x</w:t>
      </w:r>
      <w:r>
        <w:t xml:space="preserve"> </w:t>
      </w:r>
      <w:r>
        <w:t xml:space="preserve">versus the 2.7x-9.9x range observed in delegate-program-based</w:t>
      </w:r>
      <w:r>
        <w:t xml:space="preserve"> </w:t>
      </w:r>
      <w:r>
        <w:t xml:space="preserve">amplification across the nine amplifying protocols). For practitioners designing token governance, the</w:t>
      </w:r>
      <w:r>
        <w:t xml:space="preserve"> </w:t>
      </w:r>
      <w:r>
        <w:t xml:space="preserve">ve-token class is a separate design choice with substantially</w:t>
      </w:r>
      <w:r>
        <w:t xml:space="preserve"> </w:t>
      </w:r>
      <w:r>
        <w:t xml:space="preserve">different concentration implications than standard delegate-program</w:t>
      </w:r>
      <w:r>
        <w:t xml:space="preserve"> </w:t>
      </w:r>
      <w:r>
        <w:t xml:space="preserve">governance.</w:t>
      </w:r>
    </w:p>
    <w:bookmarkEnd w:id="62"/>
    <w:bookmarkStart w:id="63" w:name="Xfa73bc062c432381afdcb5f5da2b521607734ad"/>
    <w:p>
      <w:pPr>
        <w:pStyle w:val="Heading3"/>
      </w:pPr>
      <w:r>
        <w:t xml:space="preserve">4.5.3 Foundation and aggregation-contract top-delegate pattern</w:t>
      </w:r>
    </w:p>
    <w:p>
      <w:pPr>
        <w:pStyle w:val="FirstParagraph"/>
      </w:pPr>
      <w:r>
        <w:t xml:space="preserve">Three of the thirteen Table 6 protocols (plus the two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Table 6 N=13 expansion (JUP, HNT, DRIFT; Section 4.5.4) do not exhibit the foundation-or-aggregation-entity top-delegate pattern at the Solana SPL Governance member-set layer; Section 4.5.4.1 documents the Drift Foundation proposal-authorship-versus-vote-weight decoupling pattern that further differentiates Solana governance topology from the EVM precedents described here.</w:t>
      </w:r>
    </w:p>
    <w:p>
      <w:pPr>
        <w:pStyle w:val="BodyText"/>
      </w:pPr>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p>
    <w:bookmarkEnd w:id="63"/>
    <w:bookmarkStart w:id="64" w:name="X707d03bedcfa0a0365b91995ab8a6360edc545d"/>
    <w:p>
      <w:pPr>
        <w:pStyle w:val="Heading3"/>
      </w:pPr>
      <w:r>
        <w:t xml:space="preserve">4.5.4 Within-Solana governance concentration heterogeneity</w:t>
      </w:r>
    </w:p>
    <w:p>
      <w:pPr>
        <w:pStyle w:val="FirstParagraph"/>
      </w:pPr>
      <w:r>
        <w:t xml:space="preserve">Three Solana-native protocols in the cross-section have on-chain voting HHI computable via proper-weight methodology: Jupiter (JUP) at 0.00546 via per-signer max(weight) aggregation on</w:t>
      </w:r>
      <w:r>
        <w:t xml:space="preserve"> </w:t>
      </w:r>
      <w:r>
        <w:rPr>
          <w:rStyle w:val="VerbatimChar"/>
        </w:rPr>
        <w:t xml:space="preserve">jupiter_solana.govern_call_setvote</w:t>
      </w:r>
      <w:r>
        <w:t xml:space="preserve"> </w:t>
      </w:r>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p>
    <w:p>
      <w:pPr>
        <w:pStyle w:val="BodyText"/>
      </w:pPr>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p>
    <w:p>
      <w:pPr>
        <w:pStyle w:val="BodyText"/>
      </w:pPr>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p>
    <w:bookmarkEnd w:id="64"/>
    <w:bookmarkStart w:id="65" w:name="X15c4b12eb4e84eab9a54a2155bd3d1d564f6771"/>
    <w:p>
      <w:pPr>
        <w:pStyle w:val="Heading3"/>
      </w:pPr>
      <w:r>
        <w:t xml:space="preserve">4.5.4.1 Drift Foundation proposal-authorship and vote-weight decoupling</w:t>
      </w:r>
    </w:p>
    <w:p>
      <w:pPr>
        <w:pStyle w:val="FirstParagraph"/>
      </w:pP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p>
    <w:p>
      <w:pPr>
        <w:pStyle w:val="BodyText"/>
      </w:pPr>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r>
        <w:rPr>
          <w:rStyle w:val="VerbatimChar"/>
        </w:rPr>
        <w:t xml:space="preserve">9Wiiyvy8...</w:t>
      </w:r>
      <w:r>
        <w:t xml:space="preserve">) does not appear in the Drift governance voter set, confirming the Solana governance topology bifurcation documented in Section 4.6 (on-chain SPL voting member set is structurally separate from off-Realms custody multisigs).</w:t>
      </w:r>
    </w:p>
    <w:bookmarkEnd w:id="65"/>
    <w:bookmarkStart w:id="66" w:name="Xda4e3333e40fedc6b9410bb7d5d5381feb9baec"/>
    <w:p>
      <w:pPr>
        <w:pStyle w:val="Heading3"/>
      </w:pPr>
      <w:r>
        <w:t xml:space="preserve">4.5.5 Secondary extension: cross-protocol delegate overlap</w:t>
      </w:r>
    </w:p>
    <w:p>
      <w:pPr>
        <w:pStyle w:val="FirstParagraph"/>
      </w:pPr>
      <w:r>
        <w:t xml:space="preserve">Per-protocol holding HHI and per-protocol voting HHI both measure concentration within a single protocol’s governance surface. A distinct concentration dimension, made visible only by cross-protocol aggregation, is the institutional-governance-investor pattern. The Snapshot voter-pool extension to 13 protocols aggregated 11,077 unique voter addresses across the cross-section (UNI, COMP, LDO, DIMO, WXM, ARB, BAL, GTC, MPL_SYRUP, POKT, AAVE, ENS, GMX). Of these, 1,801 voters (16.3 percent) participate in 2 or more protocols’ Snapshot governance. A small institutional-governance-investor class (approximately 10 to 50 addresses) participates in 6 or more protocols’ delegate programs simultaneously.</w:t>
      </w:r>
    </w:p>
    <w:p>
      <w:pPr>
        <w:pStyle w:val="BodyText"/>
      </w:pPr>
      <w:r>
        <w:t xml:space="preserve">The top three institutional cross-protocol delegators collectively exert 17.0 percent combined Snapshot voting power across the L1 DeFi suite. PGov (</w:t>
      </w:r>
      <w:r>
        <w:rPr>
          <w:rStyle w:val="VerbatimChar"/>
        </w:rPr>
        <w:t xml:space="preserve">0x3fb19771...</w:t>
      </w:r>
      <w:r>
        <w:t xml:space="preserve">; pgov.eth) participates in 7 DAOs (ARB, COMP, ENS, GMX, GTC, LDO, UNI) at 10.16 percent combined summed share. Tane Governance (</w:t>
      </w:r>
      <w:r>
        <w:rPr>
          <w:rStyle w:val="VerbatimChar"/>
        </w:rPr>
        <w:t xml:space="preserve">0xb79294d0...</w:t>
      </w:r>
      <w:r>
        <w:t xml:space="preserve">; tanegov.eth) participates in 6 DAOs at 4.83 percent. Arana Digital (</w:t>
      </w:r>
      <w:r>
        <w:rPr>
          <w:rStyle w:val="VerbatimChar"/>
        </w:rPr>
        <w:t xml:space="preserve">0x0579a616...</w:t>
      </w:r>
      <w:r>
        <w:t xml:space="preserve">; aranadigital.eth) participates in 6 DAOs at 2.04 percent. These are professional governance firms whose business model is providing cross-protocol delegation services to token-holders who do not vote directly; the firms aggregate delegated voting power across multiple protocols simultaneously.</w:t>
      </w:r>
    </w:p>
    <w:p>
      <w:pPr>
        <w:pStyle w:val="BodyText"/>
      </w:pPr>
      <w:r>
        <w:t xml:space="preserve">The pattern is invisible to per-protocol concentration metrics. The predominant-amplification finding (Section 4.5) addresses delegation amplification within a single protocol (delegated voting power exceeds post-exclusion holding HHI); it does not address whether the same set of institutional delegates appears across multiple protocols. Cross-protocol institutional concentration is a candidate fifth concentration axis alongside the four already in the paper’s scope: holder concentration (Section 4.2), voter concentration (Section 4.5 Table 6), delegate-class concentration (Section 4.5.3 foundation-and-aggregation-contract pattern), and burner concentration (Section 4.6 universal burn-rule application). Token-holders who delegate to professional firms acquire delegated representation across multiple protocols simultaneously; the firms’ decisions affect governance outcomes in all protocols where they hold delegated weight, creating correlated voting patterns invisible to per-protocol Mann-Whitney or Cohen’s d analysis. The Tally-side cross-protocol overlap network is deferred to future work.</w:t>
      </w:r>
    </w:p>
    <w:bookmarkEnd w:id="66"/>
    <w:bookmarkEnd w:id="67"/>
    <w:bookmarkStart w:id="76"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r>
        <w:t xml:space="preserve">Secondary size and retention checks sharpen the interpretation. Larger</w:t>
      </w:r>
      <w:r>
        <w:t xml:space="preserve"> </w:t>
      </w:r>
      <w:r>
        <w:t xml:space="preserve">protocols by fully diluted valuation have fewer insider wallets in their</w:t>
      </w:r>
      <w:r>
        <w:t xml:space="preserve"> </w:t>
      </w:r>
      <w:r>
        <w:t xml:space="preserve">current top-10 holder set (Pearson r = -0.36, p = 0.032, N = 36;</w:t>
      </w:r>
      <w:r>
        <w:t xml:space="preserve"> </w:t>
      </w:r>
      <w:r>
        <w:t xml:space="preserve">Spearman rho = -0.31, p = 0.063), and the market-capitalization</w:t>
      </w:r>
      <w:r>
        <w:t xml:space="preserve"> </w:t>
      </w:r>
      <w:r>
        <w:t xml:space="preserve">specification has the same direction at borderline significance</w:t>
      </w:r>
      <w:r>
        <w:t xml:space="preserve"> </w:t>
      </w:r>
      <w:r>
        <w:t xml:space="preserve">(Pearson r = -0.34, p = 0.050, N = 33). Balance-retention</w:t>
      </w:r>
      <w:r>
        <w:t xml:space="preserve"> </w:t>
      </w:r>
      <w:r>
        <w:t xml:space="preserve">specifications are not significant, indicating a composition-shift</w:t>
      </w:r>
      <w:r>
        <w:t xml:space="preserve"> </w:t>
      </w:r>
      <w:r>
        <w:t xml:space="preserve">interpretation rather than a retained-balance result. Net-deflationary</w:t>
      </w:r>
      <w:r>
        <w:t xml:space="preserve"> </w:t>
      </w:r>
      <w:r>
        <w:t xml:space="preserve">protocols also show no statistically significant difference in insider</w:t>
      </w:r>
      <w:r>
        <w:t xml:space="preserve"> </w:t>
      </w:r>
      <w:r>
        <w:t xml:space="preserve">retention by count or balance (Mann-Whitney p = 0.57 and p = 0.78,</w:t>
      </w:r>
      <w:r>
        <w:t xml:space="preserve"> </w:t>
      </w:r>
      <w:r>
        <w:t xml:space="preserve">respectively). These checks are secondary, but they support the paper’s</w:t>
      </w:r>
      <w:r>
        <w:t xml:space="preserve"> </w:t>
      </w:r>
      <w:r>
        <w:t xml:space="preserve">main distinction between launch allocation and current holder</w:t>
      </w:r>
      <w:r>
        <w:t xml:space="preserve"> </w:t>
      </w:r>
      <w:r>
        <w:t xml:space="preserve">composition.</w:t>
      </w:r>
    </w:p>
    <w:p>
      <w:pPr>
        <w:pStyle w:val="BodyText"/>
      </w:pPr>
      <w:r>
        <w:t xml:space="preserve">The DePIN-versus-DeFi sector difference (Mann-Whitney p = 0.020, Cohen’s d = 0.94) is robust to sample composition. The test remains significant</w:t>
      </w:r>
      <w:r>
        <w:t xml:space="preserve"> </w:t>
      </w:r>
      <w:r>
        <w:t xml:space="preserve">in all 30 of 30 leave-one-out iterations (per-iteration p range: 0.008</w:t>
      </w:r>
      <w:r>
        <w:t xml:space="preserve"> </w:t>
      </w:r>
      <w:r>
        <w:t xml:space="preserve">to 0.034; Cohen’s d range: 0.84 to 1.10; per-iteration LOO data (see Supplementary Figure S5b in Supplementary File S5 for the LOO forest plot) covers the per-</w:t>
      </w:r>
      <w:r>
        <w:t xml:space="preserve"> </w:t>
      </w:r>
      <w:r>
        <w:t xml:space="preserve">iteration forest plot with bootstrap 95% CI on the headline d). Seven</w:t>
      </w:r>
      <w:r>
        <w:t xml:space="preserve"> </w:t>
      </w:r>
      <w:r>
        <w:t xml:space="preserve">protocols, when individually dropped, push the p-value to 0.034:</w:t>
      </w:r>
      <w:r>
        <w:t xml:space="preserve"> </w:t>
      </w:r>
      <w:r>
        <w:t xml:space="preserve">Compound, Uniswap, Lido, Hyperliquid, WeatherXM, Livepeer, and io.net.</w:t>
      </w:r>
      <w:r>
        <w:t xml:space="preserve"> </w:t>
      </w:r>
      <w:r>
        <w:t xml:space="preserve">No single protocol uniquely drives the result. A two-sided permutation</w:t>
      </w:r>
      <w:r>
        <w:t xml:space="preserve"> </w:t>
      </w:r>
      <w:r>
        <w:t xml:space="preserve">test (100,000 random reassignments of sector labels) yields p = 0.012,</w:t>
      </w:r>
      <w:r>
        <w:t xml:space="preserve"> </w:t>
      </w:r>
      <w:r>
        <w:t xml:space="preserve">consistent with the direction not being an artifact of the asymptotic</w:t>
      </w:r>
      <w:r>
        <w:t xml:space="preserve"> </w:t>
      </w:r>
      <w:r>
        <w:t xml:space="preserve">approximation. A non-parametric bootstrap on the sector mean difference</w:t>
      </w:r>
      <w:r>
        <w:t xml:space="preserve"> </w:t>
      </w:r>
      <w:r>
        <w:t xml:space="preserve">(10,000 resamples) yields a 95% percentile interval of [+0.012,</w:t>
      </w:r>
      <w:r>
        <w:t xml:space="preserve"> </w:t>
      </w:r>
      <w:r>
        <w:t xml:space="preserve">+0.069] HHI points, strictly excluding zero; the Cohen’s d 95%</w:t>
      </w:r>
      <w:r>
        <w:t xml:space="preserve"> </w:t>
      </w:r>
      <w:r>
        <w:t xml:space="preserve">percentile interval is [0.32, 1.68], strictly above the small-effect</w:t>
      </w:r>
      <w:r>
        <w:t xml:space="preserve"> </w:t>
      </w:r>
      <w:r>
        <w:t xml:space="preserve">threshold and including the conventional large-effect threshold (d =</w:t>
      </w:r>
      <w:r>
        <w:t xml:space="preserve"> </w:t>
      </w:r>
      <w:r>
        <w:t xml:space="preserve">0.8) within the upper portion of the interval. We characterize this finding as robust under</w:t>
      </w:r>
      <w:r>
        <w:t xml:space="preserve"> </w:t>
      </w:r>
      <w:r>
        <w:t xml:space="preserve">sample composition, resampling, and rank-based and parametric tests.</w:t>
      </w:r>
    </w:p>
    <w:p>
      <w:pPr>
        <w:pStyle w:val="BodyText"/>
      </w:pPr>
      <w:r>
        <w:drawing>
          <wp:inline>
            <wp:extent cx="5334000" cy="2927348"/>
            <wp:effectExtent b="0" l="0" r="0" t="0"/>
            <wp:docPr descr="" title="" id="69" name="Picture"/>
            <a:graphic>
              <a:graphicData uri="http://schemas.openxmlformats.org/drawingml/2006/picture">
                <pic:pic>
                  <pic:nvPicPr>
                    <pic:cNvPr descr="media/fig9_loo_forest.png" id="70" name="Picture"/>
                    <pic:cNvPicPr>
                      <a:picLocks noChangeArrowheads="1" noChangeAspect="1"/>
                    </pic:cNvPicPr>
                  </pic:nvPicPr>
                  <pic:blipFill>
                    <a:blip r:embed="rId68"/>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0.008 to 0.034); the Cohen’s d point estimates span 0.84 to 1.10 across iterations. The bootstrap 95 percent percentile interval on the headline d (10,000 resamples; full-sample estimate) is [0.32, 1.68], strictly above the small-effect threshold and including the conventional large-effect threshold (d = 0.8). No single protocol drives the sector contrast; the finding is structurally robust to single-observation perturbation.</w:t>
      </w:r>
    </w:p>
    <w:p>
      <w:pPr>
        <w:pStyle w:val="BodyText"/>
      </w:pPr>
      <w:r>
        <w:t xml:space="preserve">The subsidy-to-concentration correlation (Pearson r = 0.59, p = 0.003, N = 23) is driven primarily by a single protocol. Livepeer’s subsidy ratio of 88.5x</w:t>
      </w:r>
      <w:r>
        <w:t xml:space="preserve"> </w:t>
      </w:r>
      <w:r>
        <w:t xml:space="preserve">is a 3.5-sigma outlier on the subsidy axis, and its HHI (0.20) is the</w:t>
      </w:r>
      <w:r>
        <w:t xml:space="preserve"> </w:t>
      </w:r>
      <w:r>
        <w:t xml:space="preserve">second-highest in the subsidy subsample. Excluding Livepeer alone</w:t>
      </w:r>
      <w:r>
        <w:t xml:space="preserve"> </w:t>
      </w:r>
      <w:r>
        <w:t xml:space="preserve">reduces the correlation to a clean null at r = 0.07 (p = 0.77).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0.20, p = 0.35),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r>
        <w:t xml:space="preserve">A robustness check using the Token Terminal subsidy_ratio (N = 20 protocols with non-null Token Terminal</w:t>
      </w:r>
      <w:r>
        <w:t xml:space="preserve"> </w:t>
      </w:r>
      <w:r>
        <w:t xml:space="preserve">revenue and incentives data) is consistent with the null at cross-sector</w:t>
      </w:r>
      <w:r>
        <w:t xml:space="preserve"> </w:t>
      </w:r>
      <w:r>
        <w:t xml:space="preserve">Pearson r = 0.12 (p ≈ 0.61); a broader merged sample combining Token</w:t>
      </w:r>
      <w:r>
        <w:t xml:space="preserve"> </w:t>
      </w:r>
      <w:r>
        <w:t xml:space="preserve">Terminal data with on-chain emission/fee ratios (N = 26 across both</w:t>
      </w:r>
      <w:r>
        <w:t xml:space="preserve"> </w:t>
      </w:r>
      <w:r>
        <w:t xml:space="preserve">methodologies; N = 23 protocols with non-zero subsidy under either</w:t>
      </w:r>
      <w:r>
        <w:t xml:space="preserve"> </w:t>
      </w:r>
      <w:r>
        <w:t xml:space="preserve">metric) yields r = 0.59 inclusive of Livepeer and r = 0.07 excluding</w:t>
      </w:r>
      <w:r>
        <w:t xml:space="preserve"> </w:t>
      </w:r>
      <w:r>
        <w:t xml:space="preserve">Livepeer. The cross-sector methodology aggregates by preference: Token</w:t>
      </w:r>
      <w:r>
        <w:t xml:space="preserve"> </w:t>
      </w:r>
      <w:r>
        <w:t xml:space="preserve">Terminal subsidy_ratio is used where available (N = 20 protocols with non-empty</w:t>
      </w:r>
      <w:r>
        <w:t xml:space="preserve"> </w:t>
      </w:r>
      <w:r>
        <w:t xml:space="preserve">TT data); on-chain emission/fee subsidy_ratio_onchain is used as fallback</w:t>
      </w:r>
      <w:r>
        <w:t xml:space="preserve"> </w:t>
      </w:r>
      <w:r>
        <w:t xml:space="preserve">where TT data is unavailable but on-chain data is present (additional N = 6</w:t>
      </w:r>
      <w:r>
        <w:t xml:space="preserve"> </w:t>
      </w:r>
      <w:r>
        <w:t xml:space="preserve">protocols); the union yields the merged N = 26 sample. The</w:t>
      </w:r>
      <w:r>
        <w:t xml:space="preserve"> </w:t>
      </w:r>
      <w:r>
        <w:t xml:space="preserve">“non-zero either</w:t>
      </w:r>
      <w:r>
        <w:t xml:space="preserve"> </w:t>
      </w:r>
      <w:r>
        <w:t xml:space="preserve">metric”</w:t>
      </w:r>
      <w:r>
        <w:t xml:space="preserve"> </w:t>
      </w:r>
      <w:r>
        <w:t xml:space="preserve">sub-sample (N = 23) filters to protocols where either TT &gt; 0 OR</w:t>
      </w:r>
      <w:r>
        <w:t xml:space="preserve"> </w:t>
      </w:r>
      <w:r>
        <w:t xml:space="preserve">OC &gt; 0; this excludes 3 protocols with TT subsidy_ratio = 0 explicitly (no</w:t>
      </w:r>
      <w:r>
        <w:t xml:space="preserve"> </w:t>
      </w:r>
      <w:r>
        <w:t xml:space="preserve">subsidy under either methodology). The methodology is documented in this</w:t>
      </w:r>
      <w:r>
        <w:t xml:space="preserve"> </w:t>
      </w:r>
      <w:r>
        <w:t xml:space="preserve">footnote pre-emptively to facilitate reviewer reproduction of the cross-</w:t>
      </w:r>
      <w:r>
        <w:t xml:space="preserve"> </w:t>
      </w:r>
      <w:r>
        <w:t xml:space="preserve">sector subsidy correlation values, qualitatively replicating the main result that subsidy and</w:t>
      </w:r>
      <w:r>
        <w:t xml:space="preserve"> </w:t>
      </w:r>
      <w:r>
        <w:t xml:space="preserve">HHI co-vary only through the Livepeer outlier.</w:t>
      </w:r>
    </w:p>
    <w:p>
      <w:pPr>
        <w:pStyle w:val="BodyText"/>
      </w:pPr>
      <w:r>
        <w:t xml:space="preserve">A multivariate</w:t>
      </w:r>
      <w:r>
        <w:t xml:space="preserve"> </w:t>
      </w:r>
      <w:r>
        <w:t xml:space="preserve">specification with both subsidy ratio and DePIN sector indicator on the</w:t>
      </w:r>
      <w:r>
        <w:t xml:space="preserve"> </w:t>
      </w:r>
      <w:r>
        <w:t xml:space="preserve">23-protocol non-zero-subsidy sample (HC3 robust standard errors, a variance estimator that does not assume equal error variance across observations)</w:t>
      </w:r>
      <w:r>
        <w:t xml:space="preserve"> </w:t>
      </w:r>
      <w:r>
        <w:t xml:space="preserve">further reinforces the Livepeer-driven interpretation: with all 23</w:t>
      </w:r>
      <w:r>
        <w:t xml:space="preserve"> </w:t>
      </w:r>
      <w:r>
        <w:t xml:space="preserve">protocols, the DePIN sector indicator is significant (p = 0.016) while subsidy</w:t>
      </w:r>
      <w:r>
        <w:t xml:space="preserve"> </w:t>
      </w:r>
      <w:r>
        <w:t xml:space="preserve">is not (p = 0.36; Adj R-squared = 0.47); excluding Livepeer, the</w:t>
      </w:r>
      <w:r>
        <w:t xml:space="preserve"> </w:t>
      </w:r>
      <w:r>
        <w:t xml:space="preserve">subsidy coefficient is strongly non-significant (p = 0.94) while the</w:t>
      </w:r>
      <w:r>
        <w:t xml:space="preserve"> </w:t>
      </w:r>
      <w:r>
        <w:t xml:space="preserve">DePIN sector indicator is significant (p = 0.007), indicating</w:t>
      </w:r>
      <w:r>
        <w:t xml:space="preserve"> </w:t>
      </w:r>
      <w:r>
        <w:t xml:space="preserve">that the apparent subsidy-HHI relationship is fully absorbed by</w:t>
      </w:r>
      <w:r>
        <w:t xml:space="preserve"> </w:t>
      </w:r>
      <w:r>
        <w:t xml:space="preserve">sector membership absent the single extreme observation. Per-sector</w:t>
      </w:r>
      <w:r>
        <w:t xml:space="preserve"> </w:t>
      </w:r>
      <w:r>
        <w:t xml:space="preserve">results in</w:t>
      </w:r>
      <w:r>
        <w:t xml:space="preserve"> </w:t>
      </w:r>
      <w:hyperlink r:id="rId71">
        <w:r>
          <w:rPr>
            <w:rStyle w:val="Hyperlink"/>
          </w:rPr>
          <w:t xml:space="preserve">Supplementary File S8</w:t>
        </w:r>
      </w:hyperlink>
      <w:r>
        <w:t xml:space="preserve">.</w:t>
      </w:r>
    </w:p>
    <w:p>
      <w:pPr>
        <w:pStyle w:val="BodyText"/>
      </w:pPr>
      <w:r>
        <w:drawing>
          <wp:inline>
            <wp:extent cx="5334000" cy="4186514"/>
            <wp:effectExtent b="0" l="0" r="0" t="0"/>
            <wp:docPr descr="" title="" id="73" name="Picture"/>
            <a:graphic>
              <a:graphicData uri="http://schemas.openxmlformats.org/drawingml/2006/picture">
                <pic:pic>
                  <pic:nvPicPr>
                    <pic:cNvPr descr="media/fig7_subsidy_scatter.png" id="74" name="Picture"/>
                    <pic:cNvPicPr>
                      <a:picLocks noChangeArrowheads="1" noChangeAspect="1"/>
                    </pic:cNvPicPr>
                  </pic:nvPicPr>
                  <pic:blipFill>
                    <a:blip r:embed="rId72"/>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0.59 (solid line, full sample) drops to r = 0.07 excluding Livepeer (line omitted to communicate null result honestly; p = 0.77). The Token Terminal robustness sample (N = 20,</w:t>
      </w:r>
      <w:r>
        <w:rPr>
          <w:i/>
          <w:iCs/>
        </w:rPr>
        <w:t xml:space="preserve"> </w:t>
      </w:r>
      <w:hyperlink r:id="rId71">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p>
      <w:pPr>
        <w:pStyle w:val="BodyText"/>
      </w:pPr>
      <w:r>
        <w:t xml:space="preserve">The predominant-amplification finding in Section 4.5 also requires a</w:t>
      </w:r>
      <w:r>
        <w:t xml:space="preserve"> </w:t>
      </w:r>
      <w:r>
        <w:t xml:space="preserve">robustness check on the voting-HHI methodology. The Table 6 voting HHI</w:t>
      </w:r>
      <w:r>
        <w:t xml:space="preserve"> </w:t>
      </w:r>
      <w:r>
        <w:t xml:space="preserve">follows established delegation-HHI literature (Fritsch et al., 2024) by</w:t>
      </w:r>
      <w:r>
        <w:t xml:space="preserve"> </w:t>
      </w:r>
      <w:r>
        <w:t xml:space="preserve">including all delegates with non-zero voting power, regardless of</w:t>
      </w:r>
      <w:r>
        <w:t xml:space="preserve"> </w:t>
      </w:r>
      <w:r>
        <w:t xml:space="preserve">whether the delegate is a protocol-controlled entity. Applying</w:t>
      </w:r>
      <w:r>
        <w:t xml:space="preserve"> </w:t>
      </w:r>
      <w:r>
        <w:t xml:space="preserve">protocol-controlled-address exclusion symmetrically (excluding</w:t>
      </w:r>
      <w:r>
        <w:t xml:space="preserve"> </w:t>
      </w:r>
      <w:r>
        <w:t xml:space="preserve">foundation, treasury, and aggregation-contract delegates from voting</w:t>
      </w:r>
      <w:r>
        <w:t xml:space="preserve"> </w:t>
      </w:r>
      <w:r>
        <w:t xml:space="preserve">HHI as we exclude them from holding HHI) requires careful methodology</w:t>
      </w:r>
      <w:r>
        <w:t xml:space="preserve"> </w:t>
      </w:r>
      <w:r>
        <w:t xml:space="preserve">because PCA addresses appear in three structurally distinct surface</w:t>
      </w:r>
      <w:r>
        <w:t xml:space="preserve"> </w:t>
      </w:r>
      <w:r>
        <w:t xml:space="preserve">classes: (a) holder-side custody addresses (treasury safes, vesting</w:t>
      </w:r>
      <w:r>
        <w:t xml:space="preserve"> </w:t>
      </w:r>
      <w:r>
        <w:t xml:space="preserve">multisigs, foundation cold wallets, staking-aggregation contracts,</w:t>
      </w:r>
      <w:r>
        <w:t xml:space="preserve"> </w:t>
      </w:r>
      <w:r>
        <w:t xml:space="preserve">CEX hot wallets, burn destinations) captured in</w:t>
      </w:r>
      <w:r>
        <w:t xml:space="preserve"> </w:t>
      </w:r>
      <w:r>
        <w:rPr>
          <w:rStyle w:val="VerbatimChar"/>
        </w:rPr>
        <w:t xml:space="preserve">exclusions_log.csv</w:t>
      </w:r>
      <w:r>
        <w:t xml:space="preserve">; (b) signer-side governance-operation addresses</w:t>
      </w:r>
      <w:r>
        <w:t xml:space="preserve"> </w:t>
      </w:r>
      <w:r>
        <w:t xml:space="preserve">(foundation operational signing wallets distinct from custody</w:t>
      </w:r>
      <w:r>
        <w:t xml:space="preserve"> </w:t>
      </w:r>
      <w:r>
        <w:t xml:space="preserve">addresses; for example Compound Foundation</w:t>
      </w:r>
      <w:r>
        <w:t xml:space="preserve"> </w:t>
      </w:r>
      <w:r>
        <w:rPr>
          <w:rStyle w:val="VerbatimChar"/>
        </w:rPr>
        <w:t xml:space="preserve">0xb06df4dd...</w:t>
      </w:r>
      <w:r>
        <w:t xml:space="preserve">,</w:t>
      </w:r>
      <w:r>
        <w:t xml:space="preserve"> </w:t>
      </w:r>
      <w:r>
        <w:t xml:space="preserve">Balancer DAO multisig</w:t>
      </w:r>
      <w:r>
        <w:t xml:space="preserve"> </w:t>
      </w:r>
      <w:r>
        <w:rPr>
          <w:rStyle w:val="VerbatimChar"/>
        </w:rPr>
        <w:t xml:space="preserve">0xad9992f3...</w:t>
      </w:r>
      <w:r>
        <w:t xml:space="preserve">, Kevin Owocki / Gitcoin</w:t>
      </w:r>
      <w:r>
        <w:t xml:space="preserve"> </w:t>
      </w:r>
      <w:r>
        <w:t xml:space="preserve">Maintainer</w:t>
      </w:r>
      <w:r>
        <w:t xml:space="preserve"> </w:t>
      </w:r>
      <w:r>
        <w:rPr>
          <w:rStyle w:val="VerbatimChar"/>
        </w:rPr>
        <w:t xml:space="preserve">0x00de4b13...</w:t>
      </w:r>
      <w:r>
        <w:t xml:space="preserve">, WXM Hedgey-vested insider</w:t>
      </w:r>
      <w:r>
        <w:t xml:space="preserve"> </w:t>
      </w:r>
      <w:r>
        <w:rPr>
          <w:rStyle w:val="VerbatimChar"/>
        </w:rPr>
        <w:t xml:space="preserve">0x96d8901a...</w:t>
      </w:r>
      <w:r>
        <w:t xml:space="preserve">) captured in the sibling canonical store</w:t>
      </w:r>
      <w:r>
        <w:t xml:space="preserve"> </w:t>
      </w:r>
      <w:r>
        <w:rPr>
          <w:rStyle w:val="VerbatimChar"/>
        </w:rPr>
        <w:t xml:space="preserve">exclusions_log_signer.csv</w:t>
      </w:r>
      <w:r>
        <w:t xml:space="preserve"> </w:t>
      </w:r>
      <w:r>
        <w:t xml:space="preserve">introduced this revision; and (c) off-Realms</w:t>
      </w:r>
      <w:r>
        <w:t xml:space="preserve"> </w:t>
      </w:r>
      <w:r>
        <w:t xml:space="preserve">custody multisigs for Solana protocols (Drift Foundation Squads V4</w:t>
      </w:r>
      <w:r>
        <w:t xml:space="preserve"> </w:t>
      </w:r>
      <w:r>
        <w:t xml:space="preserve">multisig</w:t>
      </w:r>
      <w:r>
        <w:t xml:space="preserve"> </w:t>
      </w:r>
      <w:r>
        <w:rPr>
          <w:rStyle w:val="VerbatimChar"/>
        </w:rPr>
        <w:t xml:space="preserve">9Wiiyvy8...</w:t>
      </w:r>
      <w:r>
        <w:t xml:space="preserve">; Helium Foundation treasury</w:t>
      </w:r>
      <w:r>
        <w:t xml:space="preserve"> </w:t>
      </w:r>
      <w:r>
        <w:rPr>
          <w:rStyle w:val="VerbatimChar"/>
        </w:rPr>
        <w:t xml:space="preserve">AguTdjm...</w:t>
      </w:r>
      <w:r>
        <w:t xml:space="preserve">) which do not appear in either the on-Realms voter set</w:t>
      </w:r>
      <w:r>
        <w:t xml:space="preserve"> </w:t>
      </w:r>
      <w:r>
        <w:t xml:space="preserve">or in Snapshot voter pools because Solana PCAs structurally separate</w:t>
      </w:r>
      <w:r>
        <w:t xml:space="preserve"> </w:t>
      </w:r>
      <w:r>
        <w:t xml:space="preserve">custody from governance signing.</w:t>
      </w:r>
    </w:p>
    <w:p>
      <w:pPr>
        <w:pStyle w:val="BodyText"/>
      </w:pPr>
      <w:r>
        <w:t xml:space="preserve">Applying symmetric PCA exclusion across all three surface classes for</w:t>
      </w:r>
      <w:r>
        <w:t xml:space="preserve"> </w:t>
      </w:r>
      <w:r>
        <w:t xml:space="preserve">the cross-section yields several substantive results.</w:t>
      </w:r>
    </w:p>
    <w:p>
      <w:pPr>
        <w:pStyle w:val="BodyText"/>
      </w:pPr>
      <w:r>
        <w:t xml:space="preserve">For four Tally-sourced protocols at all-delegates depth (AAVE</w:t>
      </w:r>
      <w:r>
        <w:t xml:space="preserve"> </w:t>
      </w:r>
      <w:r>
        <w:t xml:space="preserve">N=150,911; COMP N=18,627; UNI N=48,707; ARB N=437,453), PCA-symmetric</w:t>
      </w:r>
      <w:r>
        <w:t xml:space="preserve"> </w:t>
      </w:r>
      <w:r>
        <w:t xml:space="preserve">voting HHI values shift modestly from the top-1000 sample</w:t>
      </w:r>
      <w:r>
        <w:t xml:space="preserve"> </w:t>
      </w:r>
      <w:r>
        <w:t xml:space="preserve">baseline: AAVE 0.0357 to 0.0324 (delta minus 0.0033); COMP 0.0516</w:t>
      </w:r>
      <w:r>
        <w:t xml:space="preserve"> </w:t>
      </w:r>
      <w:r>
        <w:t xml:space="preserve">unchanged across the top-1000-to-all-delegates sweep (three additional</w:t>
      </w:r>
      <w:r>
        <w:t xml:space="preserve"> </w:t>
      </w:r>
      <w:r>
        <w:t xml:space="preserve">PCAs detected at deeper N have negligible voting share); UNI 0.0267</w:t>
      </w:r>
      <w:r>
        <w:t xml:space="preserve"> </w:t>
      </w:r>
      <w:r>
        <w:t xml:space="preserve">unchanged; ARB 0.0340 to 0.0320 (delta minus 0.002). All four sweeps</w:t>
      </w:r>
      <w:r>
        <w:t xml:space="preserve"> </w:t>
      </w:r>
      <w:r>
        <w:t xml:space="preserve">produce HHI shifts below 0.005. ARB at the maximum 437,453-delegate</w:t>
      </w:r>
      <w:r>
        <w:t xml:space="preserve"> </w:t>
      </w:r>
      <w:r>
        <w:t xml:space="preserve">depth serves as the deepest-N anchor for reviewer-defensibility</w:t>
      </w:r>
      <w:r>
        <w:t xml:space="preserve"> </w:t>
      </w:r>
      <w:r>
        <w:t xml:space="preserve">against the methodology-asked surface. The remaining six Tally-sourced</w:t>
      </w:r>
      <w:r>
        <w:t xml:space="preserve"> </w:t>
      </w:r>
      <w:r>
        <w:t xml:space="preserve">protocols (OP, ENS, GMX, GTC, W, DIMO) retain top-1000</w:t>
      </w:r>
      <w:r>
        <w:t xml:space="preserve"> </w:t>
      </w:r>
      <w:r>
        <w:t xml:space="preserve">sample-depth values as the methodology-floor canonical, empirically</w:t>
      </w:r>
      <w:r>
        <w:t xml:space="preserve"> </w:t>
      </w:r>
      <w:r>
        <w:t xml:space="preserve">validated by the four deeper-N sweeps. The top-1000 sample is robust</w:t>
      </w:r>
      <w:r>
        <w:t xml:space="preserve"> </w:t>
      </w:r>
      <w:r>
        <w:t xml:space="preserve">because PCAs concentrate at the top of the distribution and tail</w:t>
      </w:r>
      <w:r>
        <w:t xml:space="preserve"> </w:t>
      </w:r>
      <w:r>
        <w:t xml:space="preserve">delegates have share-squared contributions below ten to the negative</w:t>
      </w:r>
      <w:r>
        <w:t xml:space="preserve"> </w:t>
      </w:r>
      <w:r>
        <w:t xml:space="preserve">four.</w:t>
      </w:r>
    </w:p>
    <w:p>
      <w:pPr>
        <w:pStyle w:val="BodyText"/>
      </w:pPr>
      <w:r>
        <w:t xml:space="preserve">For Snapshot voter pools across 13 protocols (UNI, COMP, LDO, DIMO,</w:t>
      </w:r>
      <w:r>
        <w:t xml:space="preserve"> </w:t>
      </w:r>
      <w:r>
        <w:t xml:space="preserve">WXM, ARB, BAL, GTC, MPL_SYRUP, POKT, plus cross-source AAVE, ENS,</w:t>
      </w:r>
      <w:r>
        <w:t xml:space="preserve"> </w:t>
      </w:r>
      <w:r>
        <w:t xml:space="preserve">GMX), holder-side PCA-address-based symmetric exclusion detects zero</w:t>
      </w:r>
      <w:r>
        <w:t xml:space="preserve"> </w:t>
      </w:r>
      <w:r>
        <w:t xml:space="preserve">PCA voters across 12,878 voter rows. Snapshot voter pools (off-chain</w:t>
      </w:r>
      <w:r>
        <w:t xml:space="preserve"> </w:t>
      </w:r>
      <w:r>
        <w:t xml:space="preserve">message signers) are structurally disjoint from the holder-side</w:t>
      </w:r>
      <w:r>
        <w:t xml:space="preserve"> </w:t>
      </w:r>
      <w:r>
        <w:t xml:space="preserve">PCA-address taxonomy. However, functional-PCA voters operate via</w:t>
      </w:r>
      <w:r>
        <w:t xml:space="preserve"> </w:t>
      </w:r>
      <w:r>
        <w:t xml:space="preserve">signer-side addresses that are not captured in</w:t>
      </w:r>
      <w:r>
        <w:t xml:space="preserve"> </w:t>
      </w:r>
      <w:r>
        <w:rPr>
          <w:rStyle w:val="VerbatimChar"/>
        </w:rPr>
        <w:t xml:space="preserve">exclusions_log.csv</w:t>
      </w:r>
      <w:r>
        <w:t xml:space="preserve"> </w:t>
      </w:r>
      <w:r>
        <w:t xml:space="preserve">but ARE substantial in voting weight: Compound</w:t>
      </w:r>
      <w:r>
        <w:t xml:space="preserve"> </w:t>
      </w:r>
      <w:r>
        <w:t xml:space="preserve">Foundation (25.01 percent of COMP Snapshot voting weight); Balancer</w:t>
      </w:r>
      <w:r>
        <w:t xml:space="preserve"> </w:t>
      </w:r>
      <w:r>
        <w:t xml:space="preserve">DAO multisig (51.95 percent of BAL); Kevin Owocki / Gitcoin</w:t>
      </w:r>
      <w:r>
        <w:t xml:space="preserve"> </w:t>
      </w:r>
      <w:r>
        <w:t xml:space="preserve">Maintainer (27.93 percent of GTC); WXM Hedgey-vested insider (74.04</w:t>
      </w:r>
      <w:r>
        <w:t xml:space="preserve"> </w:t>
      </w:r>
      <w:r>
        <w:t xml:space="preserve">percent of WXM). The original DIMO Foundation candidate cluster (rank-1</w:t>
      </w:r>
      <w:r>
        <w:t xml:space="preserve"> </w:t>
      </w:r>
      <w:r>
        <w:t xml:space="preserve">plus rank-2; 58.83 percent combined) was registered as a candidate protocol</w:t>
      </w:r>
      <w:r>
        <w:t xml:space="preserve"> </w:t>
      </w:r>
      <w:r>
        <w:t xml:space="preserve">in the initial expansion but subsequently REFUTED via Polygon Blockscout</w:t>
      </w:r>
      <w:r>
        <w:t xml:space="preserve"> </w:t>
      </w:r>
      <w:r>
        <w:t xml:space="preserve">MCP funding-source verification (neither voter holds substantial DIMO</w:t>
      </w:r>
      <w:r>
        <w:t xml:space="preserve"> </w:t>
      </w:r>
      <w:r>
        <w:t xml:space="preserve">tokens; the cluster represents active community delegates participating</w:t>
      </w:r>
      <w:r>
        <w:t xml:space="preserve"> </w:t>
      </w:r>
      <w:r>
        <w:t xml:space="preserve">in a thin N=10 voter pool, not functional PCAs); the DIMO entries were</w:t>
      </w:r>
      <w:r>
        <w:t xml:space="preserve"> </w:t>
      </w:r>
      <w:r>
        <w:t xml:space="preserve">removed from</w:t>
      </w:r>
      <w:r>
        <w:t xml:space="preserve"> </w:t>
      </w:r>
      <w:r>
        <w:rPr>
          <w:rStyle w:val="VerbatimChar"/>
        </w:rPr>
        <w:t xml:space="preserve">exclusions_log_signer.csv</w:t>
      </w:r>
      <w:r>
        <w:t xml:space="preserve">. The</w:t>
      </w:r>
      <w:r>
        <w:t xml:space="preserve"> </w:t>
      </w:r>
      <w:r>
        <w:rPr>
          <w:rStyle w:val="VerbatimChar"/>
        </w:rPr>
        <w:t xml:space="preserve">exclusions_log_signer.csv</w:t>
      </w:r>
      <w:r>
        <w:t xml:space="preserve"> </w:t>
      </w:r>
      <w:r>
        <w:t xml:space="preserve">canonical store registers the four confirmed</w:t>
      </w:r>
      <w:r>
        <w:t xml:space="preserve"> </w:t>
      </w:r>
      <w:r>
        <w:t xml:space="preserve">signer-side functional PCAs (COMP + BAL + GTC + WXM).</w:t>
      </w:r>
    </w:p>
    <w:p>
      <w:pPr>
        <w:pStyle w:val="BodyText"/>
      </w:pPr>
      <w:r>
        <w:t xml:space="preserve">A methodologically substantive finding from the Snapshot signer-side</w:t>
      </w:r>
      <w:r>
        <w:t xml:space="preserve"> </w:t>
      </w:r>
      <w:r>
        <w:t xml:space="preserve">PCA-symmetric recompute is that the exclusion direction is NOT</w:t>
      </w:r>
      <w:r>
        <w:t xml:space="preserve"> </w:t>
      </w:r>
      <w:r>
        <w:t xml:space="preserve">monotonic in the concentration-reduction direction. For three of the</w:t>
      </w:r>
      <w:r>
        <w:t xml:space="preserve"> </w:t>
      </w:r>
      <w:r>
        <w:t xml:space="preserve">four Snapshot-sourced protocols with confirmed signer-side functional</w:t>
      </w:r>
      <w:r>
        <w:t xml:space="preserve"> </w:t>
      </w:r>
      <w:r>
        <w:t xml:space="preserve">PCAs, exclusion produces the expected concentration-reduction</w:t>
      </w:r>
      <w:r>
        <w:t xml:space="preserve"> </w:t>
      </w:r>
      <w:r>
        <w:t xml:space="preserve">direction: COMP HHI shifts from 0.0889 to 0.0468 (delta minus 0.0421);</w:t>
      </w:r>
      <w:r>
        <w:t xml:space="preserve"> </w:t>
      </w:r>
      <w:r>
        <w:t xml:space="preserve">BAL from 0.3045 to 0.1499 (delta minus 0.1546); WXM from 0.5561 to</w:t>
      </w:r>
      <w:r>
        <w:t xml:space="preserve"> </w:t>
      </w:r>
      <w:r>
        <w:t xml:space="preserve">0.1184 (delta minus 0.4377). For the remaining protocol, signer-side</w:t>
      </w:r>
      <w:r>
        <w:t xml:space="preserve"> </w:t>
      </w:r>
      <w:r>
        <w:t xml:space="preserve">PCA exclusion INCREASES voting HHI: GTC shifts from 0.1792 to 0.1948</w:t>
      </w:r>
      <w:r>
        <w:t xml:space="preserve"> </w:t>
      </w:r>
      <w:r>
        <w:t xml:space="preserve">(delta plus 0.0156). For comparison, the initial DIMO Foundation</w:t>
      </w:r>
      <w:r>
        <w:t xml:space="preserve"> </w:t>
      </w:r>
      <w:r>
        <w:t xml:space="preserve">candidate exclusion (before the candidate cluster was refuted via</w:t>
      </w:r>
      <w:r>
        <w:t xml:space="preserve"> </w:t>
      </w:r>
      <w:r>
        <w:t xml:space="preserve">Blockscout MCP verification) would have produced a 0.2280 to 0.3242</w:t>
      </w:r>
      <w:r>
        <w:t xml:space="preserve"> </w:t>
      </w:r>
      <w:r>
        <w:t xml:space="preserve">shift (delta plus 0.0962); this computation is reported for</w:t>
      </w:r>
      <w:r>
        <w:t xml:space="preserve"> </w:t>
      </w:r>
      <w:r>
        <w:t xml:space="preserve">completeness. The reverse-direction pattern arises</w:t>
      </w:r>
      <w:r>
        <w:t xml:space="preserve"> </w:t>
      </w:r>
      <w:r>
        <w:t xml:space="preserve">from a smaller-denominator effect: when the excluded PCA holds a</w:t>
      </w:r>
      <w:r>
        <w:t xml:space="preserve"> </w:t>
      </w:r>
      <w:r>
        <w:t xml:space="preserve">dominant share of total voting weight (GTC top-1 at 28 percent;</w:t>
      </w:r>
      <w:r>
        <w:t xml:space="preserve"> </w:t>
      </w:r>
      <w:r>
        <w:t xml:space="preserve">DIMO candidate cluster at 59 percent combined pre-refutation), the</w:t>
      </w:r>
      <w:r>
        <w:t xml:space="preserve"> </w:t>
      </w:r>
      <w:r>
        <w:t xml:space="preserve">remaining voters become MORE concentrated relative to each other under</w:t>
      </w:r>
      <w:r>
        <w:t xml:space="preserve"> </w:t>
      </w:r>
      <w:r>
        <w:t xml:space="preserve">the smaller post-exclusion total. The pattern is most extreme in small voter pools (DIMO N</w:t>
      </w:r>
      <w:r>
        <w:t xml:space="preserve"> </w:t>
      </w:r>
      <w:r>
        <w:t xml:space="preserve">equals 10 voters); larger pools dilute the effect. The methodological</w:t>
      </w:r>
      <w:r>
        <w:t xml:space="preserve"> </w:t>
      </w:r>
      <w:r>
        <w:t xml:space="preserve">implication is that PCA-symmetric exclusion is a substantive</w:t>
      </w:r>
      <w:r>
        <w:t xml:space="preserve"> </w:t>
      </w:r>
      <w:r>
        <w:t xml:space="preserve">direction-of-effect test rather than a mechanical</w:t>
      </w:r>
      <w:r>
        <w:t xml:space="preserve"> </w:t>
      </w:r>
      <w:r>
        <w:t xml:space="preserve">concentration-reduction adjustment: when exclusion increases HHI, the</w:t>
      </w:r>
      <w:r>
        <w:t xml:space="preserve"> </w:t>
      </w:r>
      <w:r>
        <w:t xml:space="preserve">finding indicates that PCA concentration was masking a more</w:t>
      </w:r>
      <w:r>
        <w:t xml:space="preserve"> </w:t>
      </w:r>
      <w:r>
        <w:t xml:space="preserve">concentrated underlying distribution among non-PCA voters, which is</w:t>
      </w:r>
      <w:r>
        <w:t xml:space="preserve"> </w:t>
      </w:r>
      <w:r>
        <w:t xml:space="preserve">itself a substantive structural feature of the protocol’s governance.</w:t>
      </w:r>
    </w:p>
    <w:p>
      <w:pPr>
        <w:pStyle w:val="BodyText"/>
      </w:pPr>
      <w:r>
        <w:t xml:space="preserve">For Solana governance (three protocols at proper-weight methodology),</w:t>
      </w:r>
      <w:r>
        <w:t xml:space="preserve"> </w:t>
      </w:r>
      <w:r>
        <w:t xml:space="preserve">the apples-to-apples comparable voting HHI values are JUP 0.00546</w:t>
      </w:r>
      <w:r>
        <w:t xml:space="preserve"> </w:t>
      </w:r>
      <w:r>
        <w:t xml:space="preserve">(Jupiter; via per-signer max(weight) on</w:t>
      </w:r>
      <w:r>
        <w:t xml:space="preserve"> </w:t>
      </w:r>
      <w:r>
        <w:rPr>
          <w:rStyle w:val="VerbatimChar"/>
        </w:rPr>
        <w:t xml:space="preserve">jupiter_solana.govern_call_setvote</w:t>
      </w:r>
      <w:r>
        <w:t xml:space="preserve">); HNT 0.0261 to 0.0394</w:t>
      </w:r>
      <w:r>
        <w:t xml:space="preserve"> </w:t>
      </w:r>
      <w:r>
        <w:t xml:space="preserve">(Helium; sensitivity range via VSR position-state reconstruction;</w:t>
      </w:r>
      <w:r>
        <w:t xml:space="preserve"> </w:t>
      </w:r>
      <w:r>
        <w:t xml:space="preserve">14.8 percent closed-position rate documents the bounds);</w:t>
      </w:r>
      <w:r>
        <w:t xml:space="preserve"> </w:t>
      </w:r>
      <w:r>
        <w:t xml:space="preserve">DRIFT 0.0833 (Drift Protocol; via Solana RPC parsing of the DRIFT</w:t>
      </w:r>
      <w:r>
        <w:t xml:space="preserve"> </w:t>
      </w:r>
      <w:r>
        <w:t xml:space="preserve">governance program VoteRecordV2 accounts). The DRIFT Squads V4 PCA</w:t>
      </w:r>
      <w:r>
        <w:t xml:space="preserve"> </w:t>
      </w:r>
      <w:r>
        <w:t xml:space="preserve">address does not appear in the DRIFT voter set, confirming the</w:t>
      </w:r>
      <w:r>
        <w:t xml:space="preserve"> </w:t>
      </w:r>
      <w:r>
        <w:t xml:space="preserve">Solana structural separation between custody and governance signing</w:t>
      </w:r>
      <w:r>
        <w:t xml:space="preserve"> </w:t>
      </w:r>
      <w:r>
        <w:t xml:space="preserve">documented in the Realms governance survey. JUP is the only Solana</w:t>
      </w:r>
      <w:r>
        <w:t xml:space="preserve"> </w:t>
      </w:r>
      <w:r>
        <w:t xml:space="preserve">protocol exhibiting voting concentration order-of-magnitude below</w:t>
      </w:r>
      <w:r>
        <w:t xml:space="preserve"> </w:t>
      </w:r>
      <w:r>
        <w:t xml:space="preserve">the EVM cross-section median; HNT and DRIFT cluster within</w:t>
      </w:r>
      <w:r>
        <w:t xml:space="preserve"> </w:t>
      </w:r>
      <w:r>
        <w:t xml:space="preserve">EVM-typical voting HHI range. Section 4.5.4 documents the</w:t>
      </w:r>
      <w:r>
        <w:t xml:space="preserve"> </w:t>
      </w:r>
      <w:r>
        <w:t xml:space="preserve">within-Solana governance heterogeneity; Section 4.5.4.1 documents</w:t>
      </w:r>
      <w:r>
        <w:t xml:space="preserve"> </w:t>
      </w:r>
      <w:r>
        <w:t xml:space="preserve">the Drift Foundation proposal-authorship-versus-vote-weight</w:t>
      </w:r>
      <w:r>
        <w:t xml:space="preserve"> </w:t>
      </w:r>
      <w:r>
        <w:t xml:space="preserve">decoupling pattern; Section 4.5.5 documents the cross-protocol</w:t>
      </w:r>
      <w:r>
        <w:t xml:space="preserve"> </w:t>
      </w:r>
      <w:r>
        <w:t xml:space="preserve">institutional-governance-investor pattern.</w:t>
      </w:r>
    </w:p>
    <w:p>
      <w:pPr>
        <w:pStyle w:val="BodyText"/>
      </w:pPr>
      <w:r>
        <w:t xml:space="preserve">For Realms-resident Solana DAOs (DRIFT, HNT parent, HNT MOBILE and</w:t>
      </w:r>
      <w:r>
        <w:t xml:space="preserve"> </w:t>
      </w:r>
      <w:r>
        <w:t xml:space="preserve">IOT sub-DAOs), the Realms public surface exposes</w:t>
      </w:r>
      <w:r>
        <w:t xml:space="preserve"> </w:t>
      </w:r>
      <w:r>
        <w:t xml:space="preserve">participation-count proxy not VSR-weighted voting power without a</w:t>
      </w:r>
      <w:r>
        <w:t xml:space="preserve"> </w:t>
      </w:r>
      <w:r>
        <w:t xml:space="preserve">connected wallet; voting-side HHI in the Tally-equivalent</w:t>
      </w:r>
      <w:r>
        <w:t xml:space="preserve"> </w:t>
      </w:r>
      <w:r>
        <w:t xml:space="preserve">specification cannot be computed from the Realms DOM surface alone.</w:t>
      </w:r>
      <w:r>
        <w:t xml:space="preserve"> </w:t>
      </w:r>
      <w:r>
        <w:t xml:space="preserve">Direct on-chain SPL Governance program parsing (the approach used</w:t>
      </w:r>
      <w:r>
        <w:t xml:space="preserve"> </w:t>
      </w:r>
      <w:r>
        <w:t xml:space="preserve">for DRIFT in this revision) is the methodological alternative.</w:t>
      </w:r>
      <w:r>
        <w:t xml:space="preserve"> </w:t>
      </w:r>
      <w:r>
        <w:t xml:space="preserve">Five Solana protocols in the cross-section (HONEY, IO, META, RENDER,</w:t>
      </w:r>
      <w:r>
        <w:t xml:space="preserve"> </w:t>
      </w:r>
      <w:r>
        <w:t xml:space="preserve">GRASS) host governance off-Realms and outside the Snapshot space,</w:t>
      </w:r>
      <w:r>
        <w:t xml:space="preserve"> </w:t>
      </w:r>
      <w:r>
        <w:t xml:space="preserve">producing a documented gap in voting-side coverage for those</w:t>
      </w:r>
      <w:r>
        <w:t xml:space="preserve"> </w:t>
      </w:r>
      <w:r>
        <w:t xml:space="preserve">protocols; holder-side concentration metrics from the Helius DAS API</w:t>
      </w:r>
      <w:r>
        <w:t xml:space="preserve"> </w:t>
      </w:r>
      <w:r>
        <w:t xml:space="preserve">top-1000 holders pull remain the canonical Solana coverage for the</w:t>
      </w:r>
      <w:r>
        <w:t xml:space="preserve"> </w:t>
      </w:r>
      <w:r>
        <w:t xml:space="preserve">gap-protocol subset.</w:t>
      </w:r>
    </w:p>
    <w:p>
      <w:pPr>
        <w:pStyle w:val="BodyText"/>
      </w:pPr>
      <w:r>
        <w:t xml:space="preserve">The methodology-floor canonical for the voting-HHI cross-section is</w:t>
      </w:r>
      <w:r>
        <w:t xml:space="preserve"> </w:t>
      </w:r>
      <w:r>
        <w:t xml:space="preserve">top-1000 sample depth for Tally + Snapshot, plus proper-weight</w:t>
      </w:r>
      <w:r>
        <w:t xml:space="preserve"> </w:t>
      </w:r>
      <w:r>
        <w:t xml:space="preserve">methodology for VSR-using protocols (Helium VSR; Jupiter governance;</w:t>
      </w:r>
      <w:r>
        <w:t xml:space="preserve"> </w:t>
      </w:r>
      <w:r>
        <w:t xml:space="preserve">Drift governance); the predominant-amplification finding (Section 4.5) is</w:t>
      </w:r>
      <w:r>
        <w:t xml:space="preserve"> </w:t>
      </w:r>
      <w:r>
        <w:t xml:space="preserve">robust to: (a) top-1000 versus all-delegates sampling depth on</w:t>
      </w:r>
      <w:r>
        <w:t xml:space="preserve"> </w:t>
      </w:r>
      <w:r>
        <w:t xml:space="preserve">Tally (empirically validated by 4-of-10 protocols at all-delegates</w:t>
      </w:r>
      <w:r>
        <w:t xml:space="preserve"> </w:t>
      </w:r>
      <w:r>
        <w:t xml:space="preserve">depth with sub-0.005 HHI shifts); (b) PCA-symmetric exclusion via</w:t>
      </w:r>
      <w:r>
        <w:t xml:space="preserve"> </w:t>
      </w:r>
      <w:r>
        <w:t xml:space="preserve">holder-side plus signer-side canonical stores on Snapshot (under</w:t>
      </w:r>
      <w:r>
        <w:t xml:space="preserve"> </w:t>
      </w:r>
      <w:r>
        <w:t xml:space="preserve">both monotonic and non-monotonic direction-of-effect outcomes);</w:t>
      </w:r>
      <w:r>
        <w:t xml:space="preserve"> </w:t>
      </w:r>
      <w:r>
        <w:t xml:space="preserve">(c) proper-weight versus vote-count methodology on VSR-using</w:t>
      </w:r>
      <w:r>
        <w:t xml:space="preserve"> </w:t>
      </w:r>
      <w:r>
        <w:t xml:space="preserve">protocols (the vote-count proxy understates concentration by 5x</w:t>
      </w:r>
      <w:r>
        <w:t xml:space="preserve"> </w:t>
      </w:r>
      <w:r>
        <w:t xml:space="preserve">to 7.5x for HNT per the multi-source extension EC log). Full</w:t>
      </w:r>
      <w:r>
        <w:t xml:space="preserve"> </w:t>
      </w:r>
      <w:r>
        <w:t xml:space="preserve">per-protocol detail and signer-side PCA case interpretations in</w:t>
      </w:r>
      <w:r>
        <w:t xml:space="preserve"> </w:t>
      </w:r>
      <w:hyperlink r:id="rId75">
        <w:r>
          <w:rPr>
            <w:rStyle w:val="Hyperlink"/>
          </w:rPr>
          <w:t xml:space="preserve">Supplementary File S12</w:t>
        </w:r>
      </w:hyperlink>
      <w:r>
        <w:t xml:space="preserve">.</w:t>
      </w:r>
    </w:p>
    <w:p>
      <w:pPr>
        <w:pStyle w:val="BodyText"/>
      </w:pPr>
      <w:r>
        <w:t xml:space="preserve">The sector-contrast robustness extends to the PCA-classification specification choice. Table 7 reports the Mann-Whitney sector test recomputed under five progressively stricter alternative exclusion specifications (Specs A through E; full per-specification narrative in Supplementary File S10). The directional claim (DePIN HHI &gt; DeFi HHI in central tendency) holds under every specification (Cohen’s d positive in all five). Statistical significance at the conventional 0.05 threshold requires the canonical 5-class typology (Spec A) or near-equivalents (Spec B drops Class 5 CEX custody and retains significance); progressively reducing exclusion strictness absorbs non-vote-eligible custody mass into the holding distribution and exhausts the sector signal at Specs D and E. The PCA exclusion methodology applied throughout the paper is therefore load-bearing for the inferential claim of statistical significance; the directional claim is robust to specification choice.</w:t>
      </w:r>
    </w:p>
    <w:tbl>
      <w:tblPr>
        <w:tblStyle w:val="Table"/>
        <w:tblW w:type="pct" w:w="4903"/>
        <w:tblLayout w:type="fixed"/>
        <w:tblLook w:firstRow="1" w:lastRow="0" w:firstColumn="0" w:lastColumn="0" w:noHBand="0" w:noVBand="0" w:val="0020"/>
      </w:tblPr>
      <w:tblGrid>
        <w:gridCol w:w="768"/>
        <w:gridCol w:w="4536"/>
        <w:gridCol w:w="1076"/>
        <w:gridCol w:w="692"/>
        <w:gridCol w:w="692"/>
      </w:tblGrid>
      <w:tr>
        <w:trPr>
          <w:tblHeader w:val="on"/>
        </w:trPr>
        <w:tc>
          <w:tcPr/>
          <w:p>
            <w:pPr>
              <w:pStyle w:val="Compact"/>
              <w:jc w:val="left"/>
            </w:pPr>
            <w:r>
              <w:t xml:space="preserve">Spec</w:t>
            </w:r>
          </w:p>
        </w:tc>
        <w:tc>
          <w:tcPr/>
          <w:p>
            <w:pPr>
              <w:pStyle w:val="Compact"/>
              <w:jc w:val="left"/>
            </w:pPr>
            <w:r>
              <w:t xml:space="preserve">Description</w:t>
            </w:r>
          </w:p>
        </w:tc>
        <w:tc>
          <w:tcPr/>
          <w:p>
            <w:pPr>
              <w:pStyle w:val="Compact"/>
              <w:jc w:val="left"/>
            </w:pPr>
            <w:r>
              <w:t xml:space="preserve">Excluded</w:t>
            </w:r>
          </w:p>
        </w:tc>
        <w:tc>
          <w:tcPr/>
          <w:p>
            <w:pPr>
              <w:pStyle w:val="Compact"/>
              <w:jc w:val="left"/>
            </w:pPr>
            <w:r>
              <w:t xml:space="preserve">p</w:t>
            </w:r>
          </w:p>
        </w:tc>
        <w:tc>
          <w:tcPr/>
          <w:p>
            <w:pPr>
              <w:pStyle w:val="Compact"/>
              <w:jc w:val="left"/>
            </w:pPr>
            <w:r>
              <w:t xml:space="preserve">d</w:t>
            </w:r>
          </w:p>
        </w:tc>
      </w:tr>
      <w:tr>
        <w:tc>
          <w:tcPr/>
          <w:p>
            <w:pPr>
              <w:pStyle w:val="Compact"/>
              <w:jc w:val="left"/>
            </w:pPr>
            <w:r>
              <w:t xml:space="preserve">A</w:t>
            </w:r>
          </w:p>
        </w:tc>
        <w:tc>
          <w:tcPr/>
          <w:p>
            <w:pPr>
              <w:pStyle w:val="Compact"/>
              <w:jc w:val="left"/>
            </w:pPr>
            <w:r>
              <w:t xml:space="preserve">Canonical 5-class (all 5 classes excluded)</w:t>
            </w:r>
          </w:p>
        </w:tc>
        <w:tc>
          <w:tcPr/>
          <w:p>
            <w:pPr>
              <w:pStyle w:val="Compact"/>
              <w:jc w:val="left"/>
            </w:pPr>
            <w:r>
              <w:t xml:space="preserve">125 / 36 prot</w:t>
            </w:r>
          </w:p>
        </w:tc>
        <w:tc>
          <w:tcPr/>
          <w:p>
            <w:pPr>
              <w:pStyle w:val="Compact"/>
              <w:jc w:val="left"/>
            </w:pPr>
            <w:r>
              <w:t xml:space="preserve">0.029</w:t>
            </w:r>
          </w:p>
        </w:tc>
        <w:tc>
          <w:tcPr/>
          <w:p>
            <w:pPr>
              <w:pStyle w:val="Compact"/>
              <w:jc w:val="left"/>
            </w:pPr>
            <w:r>
              <w:t xml:space="preserve">0.94</w:t>
            </w:r>
          </w:p>
        </w:tc>
      </w:tr>
      <w:tr>
        <w:tc>
          <w:tcPr/>
          <w:p>
            <w:pPr>
              <w:pStyle w:val="Compact"/>
              <w:jc w:val="left"/>
            </w:pPr>
            <w:r>
              <w:t xml:space="preserve">B</w:t>
            </w:r>
          </w:p>
        </w:tc>
        <w:tc>
          <w:tcPr/>
          <w:p>
            <w:pPr>
              <w:pStyle w:val="Compact"/>
              <w:jc w:val="left"/>
            </w:pPr>
            <w:r>
              <w:t xml:space="preserve">Drop Class 5 (CEX custody retained)</w:t>
            </w:r>
          </w:p>
        </w:tc>
        <w:tc>
          <w:tcPr/>
          <w:p>
            <w:pPr>
              <w:pStyle w:val="Compact"/>
              <w:jc w:val="left"/>
            </w:pPr>
            <w:r>
              <w:t xml:space="preserve">106</w:t>
            </w:r>
          </w:p>
        </w:tc>
        <w:tc>
          <w:tcPr/>
          <w:p>
            <w:pPr>
              <w:pStyle w:val="Compact"/>
              <w:jc w:val="left"/>
            </w:pPr>
            <w:r>
              <w:t xml:space="preserve">0.039</w:t>
            </w:r>
          </w:p>
        </w:tc>
        <w:tc>
          <w:tcPr/>
          <w:p>
            <w:pPr>
              <w:pStyle w:val="Compact"/>
              <w:jc w:val="left"/>
            </w:pPr>
            <w:r>
              <w:t xml:space="preserve">0.84</w:t>
            </w:r>
          </w:p>
        </w:tc>
      </w:tr>
      <w:tr>
        <w:tc>
          <w:tcPr/>
          <w:p>
            <w:pPr>
              <w:pStyle w:val="Compact"/>
              <w:jc w:val="left"/>
            </w:pPr>
            <w:r>
              <w:t xml:space="preserve">C</w:t>
            </w:r>
          </w:p>
        </w:tc>
        <w:tc>
          <w:tcPr/>
          <w:p>
            <w:pPr>
              <w:pStyle w:val="Compact"/>
              <w:jc w:val="left"/>
            </w:pPr>
            <w:r>
              <w:t xml:space="preserve">Drop Class 4 + 5 (bridge + CEX retained)</w:t>
            </w:r>
          </w:p>
        </w:tc>
        <w:tc>
          <w:tcPr/>
          <w:p>
            <w:pPr>
              <w:pStyle w:val="Compact"/>
              <w:jc w:val="left"/>
            </w:pPr>
            <w:r>
              <w:t xml:space="preserve">98</w:t>
            </w:r>
          </w:p>
        </w:tc>
        <w:tc>
          <w:tcPr/>
          <w:p>
            <w:pPr>
              <w:pStyle w:val="Compact"/>
              <w:jc w:val="left"/>
            </w:pPr>
            <w:r>
              <w:t xml:space="preserve">0.115</w:t>
            </w:r>
          </w:p>
        </w:tc>
        <w:tc>
          <w:tcPr/>
          <w:p>
            <w:pPr>
              <w:pStyle w:val="Compact"/>
              <w:jc w:val="left"/>
            </w:pPr>
            <w:r>
              <w:t xml:space="preserve">0.60</w:t>
            </w:r>
          </w:p>
        </w:tc>
      </w:tr>
      <w:tr>
        <w:tc>
          <w:tcPr/>
          <w:p>
            <w:pPr>
              <w:pStyle w:val="Compact"/>
              <w:jc w:val="left"/>
            </w:pPr>
            <w:r>
              <w:t xml:space="preserve">D</w:t>
            </w:r>
          </w:p>
        </w:tc>
        <w:tc>
          <w:tcPr/>
          <w:p>
            <w:pPr>
              <w:pStyle w:val="Compact"/>
              <w:jc w:val="left"/>
            </w:pPr>
            <w:r>
              <w:t xml:space="preserve">Drop Class 3 + 4 + 5 (only Classes 1 + 2 excluded)</w:t>
            </w:r>
          </w:p>
        </w:tc>
        <w:tc>
          <w:tcPr/>
          <w:p>
            <w:pPr>
              <w:pStyle w:val="Compact"/>
              <w:jc w:val="left"/>
            </w:pPr>
            <w:r>
              <w:t xml:space="preserve">86</w:t>
            </w:r>
          </w:p>
        </w:tc>
        <w:tc>
          <w:tcPr/>
          <w:p>
            <w:pPr>
              <w:pStyle w:val="Compact"/>
              <w:jc w:val="left"/>
            </w:pPr>
            <w:r>
              <w:t xml:space="preserve">0.610</w:t>
            </w:r>
          </w:p>
        </w:tc>
        <w:tc>
          <w:tcPr/>
          <w:p>
            <w:pPr>
              <w:pStyle w:val="Compact"/>
              <w:jc w:val="left"/>
            </w:pPr>
            <w:r>
              <w:t xml:space="preserve">0.17</w:t>
            </w:r>
          </w:p>
        </w:tc>
      </w:tr>
      <w:tr>
        <w:tc>
          <w:tcPr/>
          <w:p>
            <w:pPr>
              <w:pStyle w:val="Compact"/>
              <w:jc w:val="left"/>
            </w:pPr>
            <w:r>
              <w:t xml:space="preserve">E</w:t>
            </w:r>
          </w:p>
        </w:tc>
        <w:tc>
          <w:tcPr/>
          <w:p>
            <w:pPr>
              <w:pStyle w:val="Compact"/>
              <w:jc w:val="left"/>
            </w:pPr>
            <w:r>
              <w:t xml:space="preserve">Drop Class 2 + 3 + 4 + 5 (only burn destinations excluded)</w:t>
            </w:r>
          </w:p>
        </w:tc>
        <w:tc>
          <w:tcPr/>
          <w:p>
            <w:pPr>
              <w:pStyle w:val="Compact"/>
              <w:jc w:val="left"/>
            </w:pPr>
            <w:r>
              <w:t xml:space="preserve">10</w:t>
            </w:r>
          </w:p>
        </w:tc>
        <w:tc>
          <w:tcPr/>
          <w:p>
            <w:pPr>
              <w:pStyle w:val="Compact"/>
              <w:jc w:val="left"/>
            </w:pPr>
            <w:r>
              <w:t xml:space="preserve">0.512</w:t>
            </w:r>
          </w:p>
        </w:tc>
        <w:tc>
          <w:tcPr/>
          <w:p>
            <w:pPr>
              <w:pStyle w:val="Compact"/>
              <w:jc w:val="left"/>
            </w:pPr>
            <w:r>
              <w:t xml:space="preserve">0.35</w:t>
            </w:r>
          </w:p>
        </w:tc>
      </w:tr>
    </w:tbl>
    <w:p>
      <w:pPr>
        <w:pStyle w:val="BodyText"/>
      </w:pPr>
      <w:r>
        <w:rPr>
          <w:b/>
          <w:bCs/>
          <w:i/>
          <w:iCs/>
        </w:rPr>
        <w:t xml:space="preserve">Table 7.</w:t>
      </w:r>
      <w:r>
        <w:rPr>
          <w:i/>
          <w:iCs/>
        </w:rPr>
        <w:t xml:space="preserve"> </w:t>
      </w:r>
      <w:r>
        <w:rPr>
          <w:i/>
          <w:iCs/>
        </w:rPr>
        <w:t xml:space="preserve">PCA-classification robustness: Mann-Whitney sector test under five alternative exclusion specifications applied to the N = 30 DePIN-vs-DeFi sector contrast. Specs A and B retain conventional statistical significance (p &lt; 0.05) with large Cohen’s d; Spec C produces a medium-effect contrast that fails the 0.05 threshold at N = 30; Specs D and E (minimal exclusions) absorb so much non-vote-eligible signal into the holding distribution that the sector-contrast statistical power is exhausted. Cohen’s d is positive across all five specifications: the directional cross-protocol pattern is not an artifact of specific PCA-exclusion choices. Per-specification narrative interpretation and alternative-classification rationale in Supplementary File S10.</w:t>
      </w:r>
    </w:p>
    <w:p>
      <w:pPr>
        <w:pStyle w:val="BodyText"/>
      </w:pPr>
      <w:r>
        <w:t xml:space="preserve">Other extended robustness analyses are documented in supplementary materials rather than reproduced in full here: Theil and Atkinson concentration metrics (S9), Shapley-Shubik and Banzhaf power indices (S11), PCA-symmetric voting HHI and signer-side functional PCA cases (S12), multivariate subsidy models with sector controls (S8), and the canonical statistics ledger (S0). Profitability, size, and insider-retention specifications are reported in the §4.6 secondary-checks paragraph above. Rank ordering across concentration metrics is stable: HHI-Theil Pearson r = 0.77 and HHI-Gini Pearson r = 0.59 (p &lt; 0.001, N = 40) on the post-exclusion sample, confirming that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metric adds some independent information about distributional shape while agreeing on protocol rank ordering.</w:t>
      </w:r>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76"/>
    <w:bookmarkEnd w:id="77"/>
    <w:bookmarkStart w:id="89" w:name="discussion"/>
    <w:p>
      <w:pPr>
        <w:pStyle w:val="Heading1"/>
      </w:pPr>
      <w:r>
        <w:t xml:space="preserve">5 Discussion</w:t>
      </w:r>
    </w:p>
    <w:bookmarkStart w:id="78" w:name="measurement-implications"/>
    <w:p>
      <w:pPr>
        <w:pStyle w:val="Heading2"/>
      </w:pPr>
      <w:r>
        <w:t xml:space="preserve">5.1 Measurement Implications</w:t>
      </w:r>
    </w:p>
    <w:p>
      <w:pPr>
        <w:pStyle w:val="FirstParagraph"/>
      </w:pPr>
      <w:r>
        <w:t xml:space="preserve">The results change how governance concentration should be audited. Launch allocation tables are not enough: initial insider allocation is not associated with post-distribution HHI in this cross-section. Audits should instead begin with current holder composition, explicit PCA exclusions, insider wallet retention among top holders, and delegated voting power.</w:t>
      </w:r>
    </w:p>
    <w:p>
      <w:pPr>
        <w:pStyle w:val="BodyText"/>
      </w:pPr>
      <w:r>
        <w:t xml:space="preserve">Three practical implications follow. First, holder-list HHI should be computed only after excluding addresses that cannot vote as independent governance actors. Second, delegation analysis should compare voting-HHI with post-exclusion holding HHI, because delegated power usually differs from token holdings. Third, concentration audits should treat vote-escrow systems and delegation systems as different mechanism classes rather than aggregating them under one generic governance label.</w:t>
      </w:r>
    </w:p>
    <w:bookmarkEnd w:id="78"/>
    <w:bookmarkStart w:id="79" w:name="governance-design-implications"/>
    <w:p>
      <w:pPr>
        <w:pStyle w:val="Heading2"/>
      </w:pPr>
      <w:r>
        <w:t xml:space="preserve">5.2 Governance Design Implications</w:t>
      </w:r>
    </w:p>
    <w:p>
      <w:pPr>
        <w:pStyle w:val="FirstParagraph"/>
      </w:pPr>
      <w:r>
        <w:t xml:space="preserve">The empirical findings do not prove that any one design is sufficient</w:t>
      </w:r>
      <w:r>
        <w:t xml:space="preserve"> </w:t>
      </w:r>
      <w:r>
        <w:t xml:space="preserve">for deconcentration, but they identify design levers that merit closer</w:t>
      </w:r>
      <w:r>
        <w:t xml:space="preserve"> </w:t>
      </w:r>
      <w:r>
        <w:t xml:space="preserve">evaluation. Two counterexamples operating in different mechanism domains</w:t>
      </w:r>
      <w:r>
        <w:t xml:space="preserve"> </w:t>
      </w:r>
      <w:r>
        <w:t xml:space="preserve">illustrate that concentration variation is design-tractable rather than</w:t>
      </w:r>
      <w:r>
        <w:t xml:space="preserve"> </w:t>
      </w:r>
      <w:r>
        <w:t xml:space="preserve">mechanically inevitable: Anyone Protocol shows that low DePIN holding</w:t>
      </w:r>
      <w:r>
        <w:t xml:space="preserve"> </w:t>
      </w:r>
      <w:r>
        <w:t xml:space="preserve">concentration is possible despite sector-level concentration risk, and</w:t>
      </w:r>
      <w:r>
        <w:t xml:space="preserve"> </w:t>
      </w:r>
      <w:r>
        <w:t xml:space="preserve">ENS shows that delegation can disperse voting power below the holding</w:t>
      </w:r>
      <w:r>
        <w:t xml:space="preserve"> </w:t>
      </w:r>
      <w:r>
        <w:t xml:space="preserve">baseline under a mature delegate program. GMX, HNT, and JUP extend the</w:t>
      </w:r>
      <w:r>
        <w:t xml:space="preserve"> </w:t>
      </w:r>
      <w:r>
        <w:t xml:space="preserve">delegation-dispersion case under different mechanism designs, while</w:t>
      </w:r>
      <w:r>
        <w:t xml:space="preserve"> </w:t>
      </w:r>
      <w:r>
        <w:t xml:space="preserve">Curve and Balancer show that vote-escrowed governance can amplify voting</w:t>
      </w:r>
      <w:r>
        <w:t xml:space="preserve"> </w:t>
      </w:r>
      <w:r>
        <w:t xml:space="preserve">concentration far above raw token holdings.</w:t>
      </w:r>
    </w:p>
    <w:p>
      <w:pPr>
        <w:pStyle w:val="BodyText"/>
      </w:pPr>
      <w:r>
        <w:t xml:space="preserve">For practitioners, the immediate design lesson is to measure current</w:t>
      </w:r>
      <w:r>
        <w:t xml:space="preserve"> </w:t>
      </w:r>
      <w:r>
        <w:t xml:space="preserve">governance power rather than infer it from launch documents. Protocols</w:t>
      </w:r>
      <w:r>
        <w:t xml:space="preserve"> </w:t>
      </w:r>
      <w:r>
        <w:t xml:space="preserve">should publish PCA-adjusted concentration metrics, delegate-power</w:t>
      </w:r>
      <w:r>
        <w:t xml:space="preserve"> </w:t>
      </w:r>
      <w:r>
        <w:t xml:space="preserve">concentration, and any vote-escrow amplification before asking users or</w:t>
      </w:r>
      <w:r>
        <w:t xml:space="preserve"> </w:t>
      </w:r>
      <w:r>
        <w:t xml:space="preserve">regulators to accept decentralization claims.</w:t>
      </w:r>
    </w:p>
    <w:bookmarkEnd w:id="79"/>
    <w:bookmarkStart w:id="80" w:name="risks-and-counterpoints"/>
    <w:p>
      <w:pPr>
        <w:pStyle w:val="Heading2"/>
      </w:pPr>
      <w:r>
        <w:t xml:space="preserve">5.3 Risks and Counterpoints</w:t>
      </w:r>
    </w:p>
    <w:p>
      <w:pPr>
        <w:pStyle w:val="FirstParagraph"/>
      </w:pPr>
      <w:r>
        <w:t xml:space="preserve">Several empirical risks deserve candid acknowledgment. First, concentration may be efficient in some protocols if high-stake holders are also the participants most informed about protocol maintenance. This paper does not resolve that normative dispute; it shows that concentration should be measured after PCA correction and voting-power adjustment before decentralization claims are made.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w:t>
      </w:r>
    </w:p>
    <w:p>
      <w:pPr>
        <w:pStyle w:val="BodyText"/>
      </w:pPr>
      <w:r>
        <w:t xml:space="preserve">Measurement remains incomplete. Informal influence, off-chain coordination, and legal or equity-holder obligations can affect governance without appearing in token-holder lists. The paper therefore treats HHI and voting-HHI as necessary but not sufficient measures of governance power.</w:t>
      </w:r>
    </w:p>
    <w:bookmarkEnd w:id="80"/>
    <w:bookmarkStart w:id="81" w:name="position-in-literature"/>
    <w:p>
      <w:pPr>
        <w:pStyle w:val="Heading2"/>
      </w:pPr>
      <w:r>
        <w:t xml:space="preserve">5.4 Position in Literature</w:t>
      </w:r>
    </w:p>
    <w:p>
      <w:pPr>
        <w:pStyle w:val="FirstParagraph"/>
      </w:pPr>
      <w:r>
        <w:t xml:space="preserve">This paper contributes to the empirical DAO-governance literature by refining how concentration is measured. Prior work documents token inequality, voter concentration, participation gaps, and the decentralization illusion. B2 extends that literature by showing that concentration estimates change materially once protocol-controlled addresses are excluded, and by comparing holding HHI with voting-HHI across delegation systems.</w:t>
      </w:r>
    </w:p>
    <w:p>
      <w:pPr>
        <w:pStyle w:val="BodyText"/>
      </w:pPr>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p>
    <w:bookmarkEnd w:id="81"/>
    <w:bookmarkStart w:id="82" w:name="summary-of-findings"/>
    <w:p>
      <w:pPr>
        <w:pStyle w:val="Heading2"/>
      </w:pPr>
      <w:r>
        <w:t xml:space="preserve">5.5 Summary of Findings</w:t>
      </w:r>
    </w:p>
    <w:p>
      <w:pPr>
        <w:pStyle w:val="FirstParagraph"/>
      </w:pPr>
      <w:r>
        <w:t xml:space="preserve">Across 40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0.05, p = 0.76, N = 37), while current insider wallet retention is associated with concentration (Spearman rho = 0.48, p = 0.003, N = 37); the non-insider HHI check supports this as more than a purely mechanical result.</w:t>
      </w:r>
    </w:p>
    <w:p>
      <w:pPr>
        <w:pStyle w:val="BodyText"/>
      </w:pPr>
      <w:r>
        <w:t xml:space="preserve">DePIN protocols are more concentrated than DeFi protocols after correction (mean HHI 0.071 vs 0.031; Mann-Whitney p = 0.020; Cohen’s d = 0.94), but the finding is descriptive and partially attenuates in the smallest multivariate specification. Subsidy dependence does not generalize as a concentration indicator once Livepeer is excluded (r = 0.07, p = 0.77, N = 22). Delegation usually amplifies voting concentration above token holdings in the 13-protocol voting-HHI sample, with ENS, GMX, HNT, and JUP as dispersion exceptions.</w:t>
      </w:r>
    </w:p>
    <w:p>
      <w:pPr>
        <w:pStyle w:val="BodyText"/>
      </w:pPr>
      <w:r>
        <w:t xml:space="preserve">The findings span four within-protocol concentration surfaces (post-exclusion holding, insider retention, delegated voting, and vote-escrowed voting) and one cross-protocol surface deferred to future work (institutional delegates participating in multiple protocols’ governance simultaneously).</w:t>
      </w:r>
    </w:p>
    <w:bookmarkEnd w:id="82"/>
    <w:bookmarkStart w:id="83" w:name="contributions"/>
    <w:p>
      <w:pPr>
        <w:pStyle w:val="Heading2"/>
      </w:pPr>
      <w:r>
        <w:t xml:space="preserve">5.6 Contributions</w:t>
      </w:r>
    </w:p>
    <w:p>
      <w:pPr>
        <w:pStyle w:val="FirstParagraph"/>
      </w:pPr>
      <w:r>
        <w:t xml:space="preserve">The paper makes four empirical contributions.</w:t>
      </w:r>
    </w:p>
    <w:p>
      <w:pPr>
        <w:pStyle w:val="BodyText"/>
      </w:pPr>
      <w:r>
        <w:rPr>
          <w:b/>
          <w:bCs/>
        </w:rPr>
        <w:t xml:space="preserve">First, generalizable PCA exclusion methodology</w:t>
      </w:r>
      <w:r>
        <w:t xml:space="preserve"> </w:t>
      </w:r>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p>
    <w:p>
      <w:pPr>
        <w:pStyle w:val="BodyText"/>
      </w:pPr>
      <w:r>
        <w:rPr>
          <w:b/>
          <w:bCs/>
        </w:rPr>
        <w:t xml:space="preserve">Second, allocation-null and insider-retention evidence</w:t>
      </w:r>
      <w:r>
        <w:t xml:space="preserve"> </w:t>
      </w:r>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p>
    <w:p>
      <w:pPr>
        <w:pStyle w:val="BodyText"/>
      </w:pPr>
      <w:r>
        <w:rPr>
          <w:b/>
          <w:bCs/>
        </w:rPr>
        <w:t xml:space="preserve">Third, corrected sector contrast</w:t>
      </w:r>
      <w:r>
        <w:t xml:space="preserve"> </w:t>
      </w:r>
      <w:r>
        <w:t xml:space="preserve">(Section 4.3). DePIN governance concentration exceeds DeFi after PCA correction, with robustness to leave-one-out, permutation, and bootstrap checks. The finding is descriptive and should be read with the Model 3 attenuation and small-sample limits in view.</w:t>
      </w:r>
    </w:p>
    <w:p>
      <w:pPr>
        <w:pStyle w:val="BodyText"/>
      </w:pPr>
      <w:r>
        <w:rPr>
          <w:b/>
          <w:bCs/>
        </w:rPr>
        <w:t xml:space="preserve">Fourth, delegation-amplification measurement</w:t>
      </w:r>
      <w:r>
        <w:t xml:space="preserve"> </w:t>
      </w:r>
      <w:r>
        <w:t xml:space="preserve">(Section 4.5). Voting-HHI exceeds post-exclusion holding HHI in nine of thirteen protocols with sufficient governance data, while ENS, GMX, HNT, and JUP show that dispersion is possible under different delegate-program or voting-mechanism designs. Curve and Balancer form a separate vote-escrow class with much larger amplification.</w:t>
      </w:r>
    </w:p>
    <w:bookmarkEnd w:id="83"/>
    <w:bookmarkStart w:id="84" w:name="limitations"/>
    <w:p>
      <w:pPr>
        <w:pStyle w:val="Heading2"/>
      </w:pPr>
      <w:r>
        <w:t xml:space="preserve">5.7 Limitations</w:t>
      </w:r>
    </w:p>
    <w:p>
      <w:pPr>
        <w:pStyle w:val="FirstParagraph"/>
      </w:pPr>
      <w:r>
        <w:t xml:space="preserve">The evidence reported here carries five main limitations. First, the analysis is a March 2026 cross-section, so it supports descriptive association rather than causal inference or trajectory claims. Second, the 40-protocol sample is large enough for descriptive comparison but small for fully specified multivariate regression; Model 3 has only 35 observations. Third, PCA classification depends on public labels, bytecode inspection, and documentation quality, with weaker coverage for some Solana-native protocols. Fourth, voting-HHI data are available only for 13 protocols with sufficient governance activity and comparable data surfaces. Fifth, HHI measures concentration of shares, not pivotal voting power under proposal-specific quorum rules.</w:t>
      </w:r>
    </w:p>
    <w:p>
      <w:pPr>
        <w:pStyle w:val="BodyText"/>
      </w:pPr>
      <w:r>
        <w:t xml:space="preserve">The attenuated Model 3 sector coefficient (p = 0.078) should be read</w:t>
      </w:r>
      <w:r>
        <w:t xml:space="preserve"> </w:t>
      </w:r>
      <w:r>
        <w:t xml:space="preserve">alongside the bootstrap result reported in Section 4.4: the DePIN</w:t>
      </w:r>
      <w:r>
        <w:t xml:space="preserve"> </w:t>
      </w:r>
      <w:r>
        <w:t xml:space="preserve">coefficient bootstrap interval remains above zero [+0.001, +0.091] in</w:t>
      </w:r>
      <w:r>
        <w:t xml:space="preserve"> </w:t>
      </w:r>
      <w:r>
        <w:t xml:space="preserve">the N = 35 multivariate sample, but the small sample limits how cleanly</w:t>
      </w:r>
      <w:r>
        <w:t xml:space="preserve"> </w:t>
      </w:r>
      <w:r>
        <w:t xml:space="preserve">sector can be isolated from correlated controls.</w:t>
      </w:r>
    </w:p>
    <w:p>
      <w:pPr>
        <w:pStyle w:val="BodyText"/>
      </w:pPr>
      <w:r>
        <w:t xml:space="preserve">The subsidy result is especially sensitive to one observation: excluding</w:t>
      </w:r>
      <w:r>
        <w:t xml:space="preserve"> </w:t>
      </w:r>
      <w:r>
        <w:t xml:space="preserve">Livepeer yields a clean null (full LOO + Spearman + log-transform</w:t>
      </w:r>
      <w:r>
        <w:t xml:space="preserve"> </w:t>
      </w:r>
      <w:r>
        <w:t xml:space="preserve">robustness in Section 4.6), so the main text treats subsidy as a</w:t>
      </w:r>
      <w:r>
        <w:t xml:space="preserve"> </w:t>
      </w:r>
      <w:r>
        <w:t xml:space="preserve">non-generalizing association rather than a stable indicator.</w:t>
      </w:r>
    </w:p>
    <w:p>
      <w:pPr>
        <w:pStyle w:val="BodyText"/>
      </w:pPr>
      <w:r>
        <w:t xml:space="preserve">Measurement extensions that would refine these findings without changing</w:t>
      </w:r>
      <w:r>
        <w:t xml:space="preserve"> </w:t>
      </w:r>
      <w:r>
        <w:t xml:space="preserve">the core claim are enumerated in Section 5.8.</w:t>
      </w:r>
    </w:p>
    <w:bookmarkEnd w:id="84"/>
    <w:bookmarkStart w:id="87" w:name="future-research"/>
    <w:p>
      <w:pPr>
        <w:pStyle w:val="Heading2"/>
      </w:pPr>
      <w:r>
        <w:t xml:space="preserve">5.8 Future Research</w:t>
      </w:r>
    </w:p>
    <w:p>
      <w:pPr>
        <w:pStyle w:val="FirstParagraph"/>
      </w:pPr>
      <w:r>
        <w:t xml:space="preserve">Four research directions have highest priority. First, longitudinal</w:t>
      </w:r>
      <w:r>
        <w:t xml:space="preserve"> </w:t>
      </w:r>
      <w:r>
        <w:t xml:space="preserve">governance tracking: monthly snapshots of HHI and Gini across the full</w:t>
      </w:r>
      <w:r>
        <w:t xml:space="preserve"> </w:t>
      </w:r>
      <w:r>
        <w:t xml:space="preserve">sample would convert the current cross-section into a panel dataset,</w:t>
      </w:r>
      <w:r>
        <w:t xml:space="preserve"> </w:t>
      </w:r>
      <w:r>
        <w:t xml:space="preserve">enabling analysis of deconcentration trajectories and the governance</w:t>
      </w:r>
      <w:r>
        <w:t xml:space="preserve"> </w:t>
      </w:r>
      <w:r>
        <w:t xml:space="preserve">effects of specific reform events (e.g., delegation program launches,</w:t>
      </w:r>
      <w:r>
        <w:t xml:space="preserve"> </w:t>
      </w:r>
      <w:r>
        <w:t xml:space="preserve">vesting cliff expirations). A companion panel analysis of quarterly HHI</w:t>
      </w:r>
      <w:r>
        <w:t xml:space="preserve"> </w:t>
      </w:r>
      <w:r>
        <w:t xml:space="preserve">trajectories for 14 governance tokens (</w:t>
      </w:r>
      <w:hyperlink r:id="rId85">
        <w:r>
          <w:rPr>
            <w:rStyle w:val="Hyperlink"/>
          </w:rPr>
          <w:t xml:space="preserve">Supplementary File S7</w:t>
        </w:r>
      </w:hyperlink>
      <w:r>
        <w:t xml:space="preserve">)</w:t>
      </w:r>
      <w:r>
        <w:t xml:space="preserve"> </w:t>
      </w:r>
      <w:r>
        <w:t xml:space="preserve">documents that 11 of 14 protocols exhibit monotonic governance HHI decay</w:t>
      </w:r>
      <w:r>
        <w:t xml:space="preserve"> </w:t>
      </w:r>
      <w:r>
        <w:t xml:space="preserve">over 24 months post-token-generation event, with vote-escrow (CRV),</w:t>
      </w:r>
      <w:r>
        <w:t xml:space="preserve"> </w:t>
      </w:r>
      <w:r>
        <w:t xml:space="preserve">reservoir-drip (COMP), and claim-window (ENS) designs as exceptions;</w:t>
      </w:r>
      <w:r>
        <w:t xml:space="preserve"> </w:t>
      </w:r>
      <w:r>
        <w:t xml:space="preserve">this longitudinal pattern is consistent with the cross-sectional</w:t>
      </w:r>
      <w:r>
        <w:t xml:space="preserve"> </w:t>
      </w:r>
      <w:r>
        <w:t xml:space="preserve">allocation null reported in Section 4.4.</w:t>
      </w:r>
    </w:p>
    <w:p>
      <w:pPr>
        <w:pStyle w:val="BodyText"/>
      </w:pPr>
      <w:r>
        <w:t xml:space="preserve">Second, sample expansion: the current cross-section of 40 protocols</w:t>
      </w:r>
      <w:r>
        <w:t xml:space="preserve"> </w:t>
      </w:r>
      <w:r>
        <w:t xml:space="preserve">supports descriptive analysis; expanding the sample to 50 to 60</w:t>
      </w:r>
      <w:r>
        <w:t xml:space="preserve"> </w:t>
      </w:r>
      <w:r>
        <w:t xml:space="preserve">protocols would enable the regression, panel, and event-study analyses</w:t>
      </w:r>
      <w:r>
        <w:t xml:space="preserve"> </w:t>
      </w:r>
      <w:r>
        <w:t xml:space="preserve">currently specified as replication-ready designs.</w:t>
      </w:r>
    </w:p>
    <w:p>
      <w:pPr>
        <w:pStyle w:val="BodyText"/>
      </w:pPr>
      <w:r>
        <w:t xml:space="preserve">Third, cross-protocol delegate overlap: the Snapshot-side overlap pattern in Section 4.5.5 should be extended to the Tally delegate registry and Solana governance surfaces to test whether the same professional governance actors concentrate influence across protocols.</w:t>
      </w:r>
    </w:p>
    <w:p>
      <w:pPr>
        <w:pStyle w:val="BodyText"/>
      </w:pPr>
      <w:r>
        <w:t xml:space="preserve">Fourth, extending concentration measurement from holding-based HHI to coalition-based power indices (Shapley &amp; Shubik, 1954; Banzhaf, 1968) would quantify whether token holders’ pivotal probability diverges from nominal share. Partial-sample computations across five Tally-sourced protocols (Section 4.6; full detail in Supplementary File S11) show Shapley-Shubik tracks voting-HHI at Pearson r = 0.999 under simple-majority quorum, with one protocol-specific Banzhaf divergence (AAVE top-1 Banzhaf 33.5% vs SS 26.7% vs share 21.9%). The 3 Snapshot-sourced protocols (DIMO, LDO, WXM) lack complete delegate-by-delegate weight data and remain the natural expansion target along with proposal-level quorum-configuration data. Recent game-theoretic results (Kiayias et al., 2025) indicate Shapley-based reward distributions achieve bounded Price of Stability (4/3) in oceanic staking models while resisting Sybil stake-splitting attacks, supporting the measurement extension’s theoretical grounding and computational feasibility for the sample sizes in the current dataset.</w:t>
      </w:r>
    </w:p>
    <w:p>
      <w:pPr>
        <w:pStyle w:val="BodyText"/>
      </w:pPr>
      <w:r>
        <w:t xml:space="preserve">B2’s forward agenda is empirical: convert the current cross-section into panel evidence, expand the sample, and extend voting-HHI to coalition-based power measures.</w:t>
      </w:r>
    </w:p>
    <w:p>
      <w:pPr>
        <w:pStyle w:val="BodyText"/>
      </w:pPr>
      <w:r>
        <w:t xml:space="preserve">Falsifiable forward claims. The cross-sectional design supports four</w:t>
      </w:r>
      <w:r>
        <w:t xml:space="preserve"> </w:t>
      </w:r>
      <w:r>
        <w:t xml:space="preserve">falsifiable predictions about subsequent cross-protocol governance</w:t>
      </w:r>
      <w:r>
        <w:t xml:space="preserve"> </w:t>
      </w:r>
      <w:r>
        <w:t xml:space="preserve">trajectories, each operationalized for future panel-data and event-study</w:t>
      </w:r>
      <w:r>
        <w:t xml:space="preserve"> </w:t>
      </w:r>
      <w:r>
        <w:t xml:space="preserve">work:</w:t>
      </w:r>
    </w:p>
    <w:p>
      <w:pPr>
        <w:pStyle w:val="Compact"/>
        <w:numPr>
          <w:ilvl w:val="0"/>
          <w:numId w:val="1002"/>
        </w:numPr>
      </w:pPr>
      <w:r>
        <w:rPr>
          <w:b/>
          <w:bCs/>
        </w:rPr>
        <w:t xml:space="preserve">Sector persistence</w:t>
      </w:r>
      <w:r>
        <w:t xml:space="preserve">: DePIN protocols launching in 2026-2027 will exhibit higher post-distribution holding HHI than DeFi protocols launching in the same period (Mann-Whitney test on entry-cohort distributions at T+12 and T+24 months).</w:t>
      </w:r>
    </w:p>
    <w:p>
      <w:pPr>
        <w:pStyle w:val="Compact"/>
        <w:numPr>
          <w:ilvl w:val="0"/>
          <w:numId w:val="1002"/>
        </w:numPr>
      </w:pPr>
      <w:r>
        <w:rPr>
          <w:b/>
          <w:bCs/>
        </w:rPr>
        <w:t xml:space="preserve">Delegation amplification universality</w:t>
      </w:r>
      <w:r>
        <w:t xml:space="preserve">: any protocol introducing a formal delegate program will produce voting HHI greater than holding HHI within twelve months of launch, with amplification magnitude varying by delegate-program design rather than by sector.</w:t>
      </w:r>
    </w:p>
    <w:p>
      <w:pPr>
        <w:pStyle w:val="Compact"/>
        <w:numPr>
          <w:ilvl w:val="0"/>
          <w:numId w:val="1002"/>
        </w:numPr>
      </w:pPr>
      <w:r>
        <w:rPr>
          <w:b/>
          <w:bCs/>
        </w:rPr>
        <w:t xml:space="preserve">Insider-retention persistence</w:t>
      </w:r>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p>
    <w:p>
      <w:pPr>
        <w:pStyle w:val="Compact"/>
        <w:numPr>
          <w:ilvl w:val="0"/>
          <w:numId w:val="1002"/>
        </w:numPr>
      </w:pPr>
      <w:r>
        <w:rPr>
          <w:b/>
          <w:bCs/>
        </w:rPr>
        <w:t xml:space="preserve">Delegate-program design as moderator</w:t>
      </w:r>
      <w:r>
        <w:t xml:space="preserve">: among post-launch protocols in Prediction 2’s set, those that adopt broad-community-delegate distribution design choices will exhibit lower amplification ratios than those that do not.</w:t>
      </w:r>
    </w:p>
    <w:p>
      <w:pPr>
        <w:pStyle w:val="FirstParagraph"/>
      </w:pPr>
      <w:r>
        <w:t xml:space="preserve">All four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r>
        <w:t xml:space="preserve"> </w:t>
      </w:r>
      <w:hyperlink r:id="rId86">
        <w:r>
          <w:rPr>
            <w:rStyle w:val="Hyperlink"/>
          </w:rPr>
          <w:t xml:space="preserve">Supplementary File S17</w:t>
        </w:r>
      </w:hyperlink>
      <w:r>
        <w:t xml:space="preserve">.</w:t>
      </w:r>
    </w:p>
    <w:bookmarkEnd w:id="87"/>
    <w:bookmarkStart w:id="88" w:name="reproducibility-and-data-availability"/>
    <w:p>
      <w:pPr>
        <w:pStyle w:val="Heading2"/>
      </w:pPr>
      <w:r>
        <w:t xml:space="preserve">5.9 Reproducibility and Data Availability</w:t>
      </w:r>
    </w:p>
    <w:p>
      <w:pPr>
        <w:pStyle w:val="FirstParagraph"/>
      </w:pPr>
      <w:r>
        <w:t xml:space="preserve">The 40-protocol governance concentration dataset, exclusions log (133</w:t>
      </w:r>
      <w:r>
        <w:t xml:space="preserve"> </w:t>
      </w:r>
      <w:r>
        <w:t xml:space="preserve">protocol-controlled address exclusions across 38 protocols), canonical</w:t>
      </w:r>
      <w:r>
        <w:t xml:space="preserve"> </w:t>
      </w:r>
      <w:r>
        <w:t xml:space="preserve">regression dataset including Token Terminal subsidy ratios and on-chain</w:t>
      </w:r>
      <w:r>
        <w:t xml:space="preserve"> </w:t>
      </w:r>
      <w:r>
        <w:t xml:space="preserve">financial data, Hivemapper / io.net / Aethir holder distributions used</w:t>
      </w:r>
      <w:r>
        <w:t xml:space="preserve"> </w:t>
      </w:r>
      <w:r>
        <w:t xml:space="preserve">for Table 3, veCRV cumulative deposit data underlying the Section 4.5.2</w:t>
      </w:r>
      <w:r>
        <w:t xml:space="preserve"> </w:t>
      </w:r>
      <w:r>
        <w:t xml:space="preserve">ve-locking analysis, and Theil/Atkinson supplementary metrics used in</w:t>
      </w:r>
      <w:r>
        <w:t xml:space="preserve"> </w:t>
      </w:r>
      <w:r>
        <w:t xml:space="preserve">the Section 4.6 robustness check are available in the replication</w:t>
      </w:r>
      <w:r>
        <w:t xml:space="preserve"> </w:t>
      </w:r>
      <w:r>
        <w:t xml:space="preserve">repository linked in the supplementary materials. Replication scripts</w:t>
      </w:r>
      <w:r>
        <w:t xml:space="preserve"> </w:t>
      </w:r>
      <w:r>
        <w:t xml:space="preserve">for each table and figure are provided in Supplementary File S5; the</w:t>
      </w:r>
      <w:r>
        <w:t xml:space="preserve"> </w:t>
      </w:r>
      <w:r>
        <w:t xml:space="preserve">cross-protocol Pearson and Spearman correlations reported across</w:t>
      </w:r>
      <w:r>
        <w:t xml:space="preserve"> </w:t>
      </w:r>
      <w:r>
        <w:t xml:space="preserve">Sections 4.3, 4.4, and 4.6 can be reproduced via the replication scripts</w:t>
      </w:r>
      <w:r>
        <w:t xml:space="preserve"> </w:t>
      </w:r>
      <w:r>
        <w:t xml:space="preserve">using only the linked public-source data. The exclusion methodology is</w:t>
      </w:r>
      <w:r>
        <w:t xml:space="preserve"> </w:t>
      </w:r>
      <w:r>
        <w:t xml:space="preserve">documented at the address-by-address granularity in Supplementary</w:t>
      </w:r>
      <w:r>
        <w:t xml:space="preserve"> </w:t>
      </w:r>
      <w:r>
        <w:t xml:space="preserve">File S6.</w:t>
      </w:r>
    </w:p>
    <w:bookmarkEnd w:id="88"/>
    <w:bookmarkEnd w:id="89"/>
    <w:bookmarkStart w:id="90" w:name="conclusion"/>
    <w:p>
      <w:pPr>
        <w:pStyle w:val="Heading1"/>
      </w:pPr>
      <w:r>
        <w:t xml:space="preserve">6 Conclusion</w:t>
      </w:r>
    </w:p>
    <w:p>
      <w:pPr>
        <w:pStyle w:val="FirstParagraph"/>
      </w:pPr>
      <w:r>
        <w:t xml:space="preserve">Governance concentration in token protocols is weakly associated with launch-time allocation and poorly measured by naive holder lists. Across forty protocols, PCA exclusion corrects systematic inflation in prior concentration studies (median factor 2.3x), initial insider allocation is uninformative (Pearson r = 0.05, p = 0.76, N = 37), and post-distribution insider wallet retention is associated with higher concentration (Spearman rho = 0.48, p = 0.003, N = 37). DePIN protocols exhibit higher concentration than DeFi after measurement correction (Mann-Whitney p = 0.020, Cohen’s d = 0.94), and delegation amplifies voting power above holdings in nine of thirteen protocols with sufficient governance data (ratios 1.6x to 9.9x; mean approximately 4.9x).</w:t>
      </w:r>
    </w:p>
    <w:p>
      <w:pPr>
        <w:pStyle w:val="BodyText"/>
      </w:pPr>
      <w:r>
        <w:t xml:space="preserve">For practitioners and researchers, the actionable implication is to audit current holder composition, PCA exclusions, and delegate-program design rather than launch allocation percentages. ENS and Anyone Protocol show that lower concentration and delegation-mediated dispersion are achievable through deliberate institutional design. Longitudinal panel analysis and pre-registered falsifiable predictions are specified in Section 5.8 and Supplementary File S17.</w:t>
      </w:r>
    </w:p>
    <w:bookmarkEnd w:id="90"/>
    <w:bookmarkStart w:id="91" w:name="supplementary-material"/>
    <w:p>
      <w:pPr>
        <w:pStyle w:val="Heading1"/>
      </w:pPr>
      <w:r>
        <w:t xml:space="preserve">Supplementary Material</w:t>
      </w:r>
    </w:p>
    <w:p>
      <w:pPr>
        <w:pStyle w:val="FirstParagraph"/>
      </w:pPr>
      <w:r>
        <w:t xml:space="preserve">The following supplementary files accompany this paper:</w:t>
      </w:r>
    </w:p>
    <w:p>
      <w:pPr>
        <w:pStyle w:val="BodyText"/>
      </w:pPr>
      <w:r>
        <w:t xml:space="preserve">S0: Canonical statistics ledger for every B2 main-text statistic.</w:t>
      </w:r>
    </w:p>
    <w:p>
      <w:pPr>
        <w:pStyle w:val="BodyText"/>
      </w:pPr>
      <w:r>
        <w:t xml:space="preserve">S1: Metric definitions for holder concentration, voting concentration,</w:t>
      </w:r>
      <w:r>
        <w:t xml:space="preserve"> </w:t>
      </w:r>
      <w:r>
        <w:t xml:space="preserve">subsidy ratios, and related variables.</w:t>
      </w:r>
    </w:p>
    <w:p>
      <w:pPr>
        <w:pStyle w:val="BodyText"/>
      </w:pPr>
      <w:r>
        <w:t xml:space="preserve">S2: Protocol codebook and optional governance-scoring templates retained</w:t>
      </w:r>
      <w:r>
        <w:t xml:space="preserve"> </w:t>
      </w:r>
      <w:r>
        <w:t xml:space="preserve">for researchers extending the broader project. Not load-bearing for B2.</w:t>
      </w:r>
    </w:p>
    <w:p>
      <w:pPr>
        <w:pStyle w:val="BodyText"/>
      </w:pPr>
      <w:r>
        <w:t xml:space="preserve">S3: Optional governance-scoring tables retained as supplementary</w:t>
      </w:r>
      <w:r>
        <w:t xml:space="preserve"> </w:t>
      </w:r>
      <w:r>
        <w:t xml:space="preserve">materials. Not load-bearing for B2.</w:t>
      </w:r>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r>
        <w:t xml:space="preserve">S6: Source provenance, revenue standardization, raw holder-data workflow,</w:t>
      </w:r>
      <w:r>
        <w:t xml:space="preserve"> </w:t>
      </w:r>
      <w:r>
        <w:t xml:space="preserve">and address-level PCA documentation.</w:t>
      </w:r>
    </w:p>
    <w:p>
      <w:pPr>
        <w:pStyle w:val="BodyText"/>
      </w:pPr>
      <w:r>
        <w:t xml:space="preserve">S7: Quarterly HHI panel for 14 governance tokens across eight quarters</w:t>
      </w:r>
      <w:r>
        <w:t xml:space="preserve"> </w:t>
      </w:r>
      <w:r>
        <w:t xml:space="preserve">post-token-generation event.</w:t>
      </w:r>
    </w:p>
    <w:p>
      <w:pPr>
        <w:pStyle w:val="BodyText"/>
      </w:pPr>
      <w:r>
        <w:t xml:space="preserve">S8: Expanded subsidy-concentration analysis combining Token Terminal</w:t>
      </w:r>
      <w:r>
        <w:t xml:space="preserve"> </w:t>
      </w:r>
      <w:r>
        <w:t xml:space="preserve">revenue data and on-chain emission or fee ratios.</w:t>
      </w:r>
    </w:p>
    <w:p>
      <w:pPr>
        <w:pStyle w:val="BodyText"/>
      </w:pPr>
      <w:r>
        <w:t xml:space="preserve">S9: Theil and Atkinson concentration-metric robustness analysis.</w:t>
      </w:r>
    </w:p>
    <w:p>
      <w:pPr>
        <w:pStyle w:val="BodyText"/>
      </w:pPr>
      <w:r>
        <w:t xml:space="preserve">S10: PCA classification robustness across Specs A through E.</w:t>
      </w:r>
    </w:p>
    <w:p>
      <w:pPr>
        <w:pStyle w:val="BodyText"/>
      </w:pPr>
      <w:r>
        <w:t xml:space="preserve">S11: Shapley-Shubik and Banzhaf power-index calculations.</w:t>
      </w:r>
    </w:p>
    <w:p>
      <w:pPr>
        <w:pStyle w:val="BodyText"/>
      </w:pPr>
      <w:r>
        <w:t xml:space="preserve">S12: PCA-symmetric voting-HHI and signer-side functional PCA robustness.</w:t>
      </w:r>
    </w:p>
    <w:p>
      <w:pPr>
        <w:pStyle w:val="BodyText"/>
      </w:pPr>
      <w:r>
        <w:t xml:space="preserve">S15: Optimism worked example retained as a supplementary case.</w:t>
      </w:r>
    </w:p>
    <w:p>
      <w:pPr>
        <w:pStyle w:val="BodyText"/>
      </w:pPr>
      <w:r>
        <w:t xml:space="preserve">S16: Aethir, IoTeX, and ENS sensitivity analyses.</w:t>
      </w:r>
    </w:p>
    <w:p>
      <w:pPr>
        <w:pStyle w:val="BodyText"/>
      </w:pPr>
      <w:r>
        <w:t xml:space="preserve">S17: Falsifiable predictions and pre-registration specification.</w:t>
      </w:r>
    </w:p>
    <w:p>
      <w:pPr>
        <w:pStyle w:val="BodyText"/>
      </w:pPr>
      <w:r>
        <w:t xml:space="preserve">Replication data:</w:t>
      </w:r>
      <w:r>
        <w:t xml:space="preserve"> </w:t>
      </w:r>
      <w:r>
        <w:t xml:space="preserve">https://github.com/Research-Publications-and-Data/Tokenomics-As-Institutional_Design</w:t>
      </w:r>
    </w:p>
    <w:bookmarkEnd w:id="91"/>
    <w:bookmarkStart w:id="92"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92"/>
    <w:bookmarkStart w:id="93"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r>
        <w:t xml:space="preserve">Atkinson, A. B. (1970). On the measurement of inequality. Journal of</w:t>
      </w:r>
      <w:r>
        <w:t xml:space="preserve"> </w:t>
      </w:r>
      <w:r>
        <w:t xml:space="preserve">Economic Theory, 2(3), 244-263.</w:t>
      </w:r>
      <w:r>
        <w:t xml:space="preserve"> </w:t>
      </w:r>
      <w:r>
        <w:t xml:space="preserve">https://doi.org/10.1016/0022-0531(70)90039-6</w:t>
      </w:r>
    </w:p>
    <w:p>
      <w:pPr>
        <w:pStyle w:val="BodyText"/>
      </w:pPr>
      <w:r>
        <w:t xml:space="preserve">Atzori, M. (2017). Blockchain technology and decentralized governance:</w:t>
      </w:r>
      <w:r>
        <w:t xml:space="preserve"> </w:t>
      </w:r>
      <w:r>
        <w:t xml:space="preserve">Is the state still necessary? Journal of Governance and Regulation,</w:t>
      </w:r>
      <w:r>
        <w:t xml:space="preserve"> </w:t>
      </w:r>
      <w:r>
        <w:t xml:space="preserve">6(1), 45-62. https://doi.org/10.22495/jgr_v6_i1_p5</w:t>
      </w:r>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r>
        <w:t xml:space="preserve">Banzhaf, J. F., III. (1968). One man, 3.312 votes: A mathematical</w:t>
      </w:r>
      <w:r>
        <w:t xml:space="preserve"> </w:t>
      </w:r>
      <w:r>
        <w:t xml:space="preserve">analysis of the Electoral College. Villanova Law Review, 13(2), 304-332.</w:t>
      </w:r>
    </w:p>
    <w:p>
      <w:pPr>
        <w:pStyle w:val="BodyText"/>
      </w:pPr>
      <w:r>
        <w:t xml:space="preserve">Blockworks. (2026). GEODNET analytics dashboard. Retrieved April 2026,</w:t>
      </w:r>
      <w:r>
        <w:t xml:space="preserve"> </w:t>
      </w:r>
      <w:r>
        <w:t xml:space="preserve">from https://blockworks.com/analytics/geodnet</w:t>
      </w:r>
    </w:p>
    <w:p>
      <w:pPr>
        <w:pStyle w:val="BodyText"/>
      </w:pPr>
      <w:r>
        <w:t xml:space="preserve">Blockworks. (2026). Helium financials dashboard. Retrieved April 2026,</w:t>
      </w:r>
      <w:r>
        <w:t xml:space="preserve"> </w:t>
      </w:r>
      <w:r>
        <w:t xml:space="preserve">from https://blockworks.com/analytics/helium/helium-financials</w:t>
      </w:r>
    </w:p>
    <w:p>
      <w:pPr>
        <w:pStyle w:val="BodyText"/>
      </w:pPr>
      <w:r>
        <w:t xml:space="preserve">Brennan, G., &amp; Buchanan, J. M. (1985). The reason of rules:</w:t>
      </w:r>
      <w:r>
        <w:t xml:space="preserve"> </w:t>
      </w:r>
      <w:r>
        <w:t xml:space="preserve">Constitutional political economy. Cambridge University Press.</w:t>
      </w:r>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r>
        <w:t xml:space="preserve">Cohen, J. (1988). Statistical power analysis for the behavioral</w:t>
      </w:r>
      <w:r>
        <w:t xml:space="preserve"> </w:t>
      </w:r>
      <w:r>
        <w:t xml:space="preserve">sciences (2nd ed.). Lawrence Erlbaum Associates.</w:t>
      </w:r>
    </w:p>
    <w:p>
      <w:pPr>
        <w:pStyle w:val="BodyText"/>
      </w:pPr>
      <w:r>
        <w:t xml:space="preserve">Cohen, J. (1989). Deliberation and democratic legitimacy. In A. Hamlin</w:t>
      </w:r>
      <w:r>
        <w:t xml:space="preserve"> </w:t>
      </w:r>
      <w:r>
        <w:t xml:space="preserve">&amp; P. Pettit (Eds.), The good polity: Normative analysis of the state</w:t>
      </w:r>
      <w:r>
        <w:t xml:space="preserve"> </w:t>
      </w:r>
      <w:r>
        <w:t xml:space="preserve">(pp. 17-34). Blackwell.</w:t>
      </w:r>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De Filippi, P., &amp; Wright, A. (2018). Blockchain and the law: The rule of</w:t>
      </w:r>
      <w:r>
        <w:t xml:space="preserve"> </w:t>
      </w:r>
      <w:r>
        <w:t xml:space="preserve">code. Harvard University Press. https://doi.org/10.4159/9780674985933</w:t>
      </w:r>
    </w:p>
    <w:p>
      <w:pPr>
        <w:pStyle w:val="BodyText"/>
      </w:pPr>
      <w:r>
        <w:t xml:space="preserve">DuPont, Q. (2014). The politics of cryptography: Bitcoin and the</w:t>
      </w:r>
      <w:r>
        <w:t xml:space="preserve"> </w:t>
      </w:r>
      <w:r>
        <w:t xml:space="preserve">ordering machines. Journal of Peer Production, 4. https://peerproduction.net</w:t>
      </w:r>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r>
        <w:t xml:space="preserve">Hardin, G. (1968). The tragedy of the commons. Science, 162(3859),</w:t>
      </w:r>
      <w:r>
        <w:t xml:space="preserve"> </w:t>
      </w:r>
      <w:r>
        <w:t xml:space="preserve">1243-1248. https://doi.org/10.1126/science.162.3859.1243</w:t>
      </w:r>
    </w:p>
    <w:p>
      <w:pPr>
        <w:pStyle w:val="BodyText"/>
      </w:pPr>
      <w:r>
        <w:t xml:space="preserve">Hirschman, A. O. (1964). The paternity of an index. American Economic</w:t>
      </w:r>
      <w:r>
        <w:t xml:space="preserve"> </w:t>
      </w:r>
      <w:r>
        <w:t xml:space="preserve">Review, 54(5), 761.</w:t>
      </w:r>
    </w:p>
    <w:p>
      <w:pPr>
        <w:pStyle w:val="BodyText"/>
      </w:pPr>
      <w:r>
        <w:t xml:space="preserve">Holmstrom, B. (1979). Moral hazard and observability. The Bell</w:t>
      </w:r>
      <w:r>
        <w:t xml:space="preserve"> </w:t>
      </w:r>
      <w:r>
        <w:t xml:space="preserve">Journal of Economics, 10(1), 74-91. https://doi.org/10.2307/3003320</w:t>
      </w:r>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r>
        <w:t xml:space="preserve">Hurwicz, L. (1987). Inventing new institutions: The design perspective.</w:t>
      </w:r>
      <w:r>
        <w:t xml:space="preserve"> </w:t>
      </w:r>
      <w:r>
        <w:t xml:space="preserve">American Journal of Agricultural Economics, 69(2), 395-402.</w:t>
      </w:r>
      <w:r>
        <w:t xml:space="preserve"> </w:t>
      </w:r>
      <w:r>
        <w:t xml:space="preserve">https://doi.org/10.2307/1242293</w:t>
      </w:r>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r>
        <w:t xml:space="preserve">North, D. C. (1990). Institutions, institutional change and economic</w:t>
      </w:r>
      <w:r>
        <w:t xml:space="preserve"> </w:t>
      </w:r>
      <w:r>
        <w:t xml:space="preserve">performance. Cambridge University Press.</w:t>
      </w:r>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r>
        <w:t xml:space="preserve">Polanyi, K. (1944). The great transformation: The political and</w:t>
      </w:r>
      <w:r>
        <w:t xml:space="preserve"> </w:t>
      </w:r>
      <w:r>
        <w:t xml:space="preserve">economic origins of our time. Farrar &amp; Rinehart.</w:t>
      </w:r>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r>
        <w:t xml:space="preserve">Schneider, N. (2024). Governable spaces: Democratic design for online</w:t>
      </w:r>
      <w:r>
        <w:t xml:space="preserve"> </w:t>
      </w:r>
      <w:r>
        <w:t xml:space="preserve">life. University of California Press (Luminos Open Access).</w:t>
      </w:r>
      <w:r>
        <w:t xml:space="preserve"> </w:t>
      </w:r>
      <w:r>
        <w:t xml:space="preserve">https://doi.org/10.1525/luminos.181</w:t>
      </w:r>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r>
        <w:t xml:space="preserve">Shapley, L. S., &amp; Shubik, M. (1954). A method for evaluating the</w:t>
      </w:r>
      <w:r>
        <w:t xml:space="preserve"> </w:t>
      </w:r>
      <w:r>
        <w:t xml:space="preserve">distribution of power in a committee system. American Political Science</w:t>
      </w:r>
      <w:r>
        <w:t xml:space="preserve"> </w:t>
      </w:r>
      <w:r>
        <w:t xml:space="preserve">Review, 48(3), 787-792. https://doi.org/10.2307/1951053</w:t>
      </w:r>
    </w:p>
    <w:p>
      <w:pPr>
        <w:pStyle w:val="BodyText"/>
      </w:pPr>
      <w:r>
        <w:t xml:space="preserve">Theil, H. (1967). Economics and information theory. North-Holland.</w:t>
      </w:r>
    </w:p>
    <w:p>
      <w:pPr>
        <w:pStyle w:val="BodyText"/>
      </w:pPr>
      <w:r>
        <w:t xml:space="preserve">Tirole, J. (2001). Corporate governance. Econometrica, 69(1), 1-35.</w:t>
      </w:r>
      <w:r>
        <w:t xml:space="preserve"> </w:t>
      </w:r>
      <w:r>
        <w:t xml:space="preserve">https://doi.org/10.1111/1468-0262.00177</w:t>
      </w:r>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r>
        <w:t xml:space="preserve">Zukowski, Z. (2026e). Why token governance concentrates: A Polanyian</w:t>
      </w:r>
      <w:r>
        <w:t xml:space="preserve"> </w:t>
      </w:r>
      <w:r>
        <w:t xml:space="preserve">extension to the fourth fictitious commodity. Working manuscript.</w:t>
      </w:r>
    </w:p>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72" Target="media/rId72.png" /><Relationship Type="http://schemas.openxmlformats.org/officeDocument/2006/relationships/image" Id="rId68" Target="media/rId68.png" /><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86"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5"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86"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5"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40-Protocol Cross-Sectional Audit of DePIN and DeFi After Protocol-Controlled-Address Exclusion</dc:title>
  <dc:creator/>
  <cp:keywords/>
  <dcterms:created xsi:type="dcterms:W3CDTF">2026-05-27T04:17:12Z</dcterms:created>
  <dcterms:modified xsi:type="dcterms:W3CDTF">2026-05-27T04:17:12Z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