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52-Protocol Cross-Sectional Audit of DePIN and DeFi After Protocol-Controlled-Address Exclusion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52-Protocol Cross-Sectional Audit … After Protocol-Controlled-Address Exclusion”</w:t>
      </w:r>
      <w:r>
        <w:t xml:space="preserve">). The R1 lead-phrase preservation is deliberate: it provides editorial-system continuity (the working title matches the R1 lead phrase exactly), while the new subtitle signals the reframing toward the empirical-measurement contribution. The institutional-design-and-philosophical-interpretation thread has been moved to a companion paper (Zukowski, 2026e), allowing the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2026-05-31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52-Protocol Cross-Sectional Audit of DePIN and DeFi After Protocol-Controlled-Address Exclusion”</w:t>
      </w:r>
      <w:r>
        <w:t xml:space="preserve"> </w:t>
      </w:r>
      <w:r>
        <w:t xml:space="preserve">addressing Reviewer 1’s four Round 2 issues and incorporating substantial strengthening across data, methodology, and manuscript architecture. Point-by-point responses to all four reviewer issues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 framework integrated with empirical results; the revised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revised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Revised manuscript (clean version)</w:t>
      </w:r>
      <w:r>
        <w:t xml:space="preserve"> </w:t>
      </w:r>
      <w:r>
        <w:t xml:space="preserve">- the full R2 manuscript incorporating all changes described in the response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coverage across the N=52 cross-section); S16a (Aethir, IoTeX, and ENS sensitivity analyses); S16b (additional protocols: FXS, SNX, GNO, TAO); S16c (Polkadot governance analysis); S17 (falsifiable predictions and pre-registration specification); S18 (EVM PCA classification with two-layer audit); S19 (Polkadot validator-set five-axis attribution methodology); S20 (Polkadot Subscan delegate-pool analysis); S21 (Class 3 versus Class 5 PCA disambiguation via transaction-pattern signatures); S22 (insider classification and staking-attribution audit); S23 (Q1-to-Q8 governance-HHI trajectory analysis on the 14-protocol panel); S24 (Optimism worked example); S25 (cross-protocol institutional concentration: voter-axis institutional-delegate audit plus holder-axis and validator-set CEX-overlap synthesis)</w:t>
      </w:r>
    </w:p>
    <w:p>
      <w:pPr>
        <w:pStyle w:val="FirstParagraph"/>
      </w:pPr>
      <w:r>
        <w:t xml:space="preserve">The address-by-address PCA exclusion log and the full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revision reconciles all reported statistics against a single source-of-truth regression dataset to prevent recurrence of the manuscript-vs-data drift Reviewer 1 surfaced in the R1 review. A statistics ledger (Supplementary File S0) lists every body-text statistic with its sample size and the reporting convention; the ledger is the single source of truth that body, tables, figures, captions, abstract, and conclusion reconcile against, and all reported statistics are reconciled against it. Snapshot-date discipline is acknowledged: Table 7 voting-HHI values for the eight protocols sampled at the R1 scope use a March 2026 snapshot consistent with the rest of the dataset; the GMX and ENS additions use a May 2026 Tally snapshot (documented in Section 4.5 Table 7 footnote as a deliberate methodological exception for the added protocols). The May 2026 Tally and Snapshot replication confirms delegate-pool drift; rank ordering across protocols is the more durable inferential property than absolute magnitude.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reproduce-and-sync discipline adopted in this revision. Responding to that audit directly produced the substantive thesis evolution in the revised manuscript: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revised manuscript’s empirical contributions are stronger than the R1 manuscript’s because the reviewer’s audit framing was applied throughout the data, methodology, and architecture.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2026-05-31T04:49:44Z</dcterms:created>
  <dcterms:modified xsi:type="dcterms:W3CDTF">2026-05-31T04:49:44Z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