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mc="http://schemas.openxmlformats.org/markup-compatibility/2006" xmlns:wp="http://schemas.openxmlformats.org/drawingml/2006/wordprocessingDrawing" xmlns:a="http://schemas.openxmlformats.org/drawingml/2006/main" xmlns:pic="http://schemas.openxmlformats.org/drawingml/2006/picture" xmlns:r="http://schemas.openxmlformats.org/officeDocument/2006/relationships" mc:Ignorable="w14 wp14">
  <w:body>
    <w:p>
      <w:pPr>
        <w:jc w:val="center"/>
      </w:pPr>
      <w:r>
        <w:rPr>
          <w:b/>
        </w:rPr>
        <w:t>Governance Concentration Beyond Token Allocation: An Institutional Design Analysis of DePIN and DeFi</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jc w:val="center"/>
      </w:pPr>
      <w:r>
        <w:rPr/>
        <w:t>April 2026</w:t>
      </w:r>
    </w:p>
    <w:p>
      <w:pPr>
        <w:pStyle w:val="Heading1"/>
      </w:pPr>
      <w:r>
        <w:t>Abstract</w:t>
      </w:r>
    </w:p>
    <w:p>
      <w:del w:id="2001" w:author="Zach Zukowski (F1 final precision)" w:date="2026-05-12T00:00:00Z">
        <w:r>
          <w:delText xml:space="preserve">Initial token allocation design does not predict governance concentration. A 40-protocol cross-section spanning Decentralized Physical Infrastructure Networks (DePIN), DeFi, infrastructure, and social token categories documents that the percentage of tokens allocated to team and investors at launch is uninformative about post-distribution governance concentration (Pearson r = 0.18, p = 0.28, N = 37): protocols with generous community distributions exhibit concentration patterns similar to those with heavy insider allocations. Hyperliquid, the only protocol in the sample with zero venture capital and a 31% community airdrop, shows the lowest DeFi-subsample Herfindahl-Hirschman Index (HHI) of 0.005, but the broader null holds across allocation designs. Evidence is consistent with post-distribution market dynamics shaping concentration more than initial structural design.</w:delText>
        </w:r>
      </w:del>
      <w:ins w:id="2002" w:author="Zach Zukowski (F1 final precision)" w:date="2026-05-12T00:00:00Z">
        <w:r>
          <w:t xml:space="preserve">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t>
        </w:r>
      </w:ins>
    </w:p>
    <w:p>
      <w:del w:id="2003" w:author="Zach Zukowski (F1 final precision)" w:date="2026-05-12T00:00:00Z">
        <w:r>
          <w:delText xml:space="preserve">Four supporting findings sharpen the picture. First, protocols with more insider wallets in their top-holder sets exhibit higher concentration among non-insider holders (Spearman rho = 0.54, p = 0.001, N = 34), indicating that insider-heavy protocols develop concentrated governance ecosystems, not merely concentrated insider positions. Second, sector membership predicts concentration: DePIN protocols are more concentrated than DeFi (Mann-Whitney p = 0.014, Cohen’s d = 1.03), and the effect survives multivariate OLS adjustment across three nested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the correlation is not significant (r = 0.11, p = 0.65). Fourth, delegation amplifies concentration unevenly: voting-power HHI reaches 3 to 6 times holding HHI in DePIN, while two infrastructure protocols diverge (Optimism 0.79x, Arbitrum 4.3x), consistent with institutional design at the operator and router level shaping governance outcomes more than sector classification alone.</w:delText>
        </w:r>
      </w:del>
      <w:ins w:id="2004" w:author="Zach Zukowski (F1 final precision)" w:date="2026-05-12T00:00:00Z">
        <w:r>
          <w:t xml:space="preserve">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t>
        </w:r>
      </w:ins>
    </w:p>
    <w:p>
      <w:del w:id="2005" w:author="Zach Zukowski (F1 final precision)" w:date="2026-05-12T00:00:00Z">
        <w:r>
          <w:delText xml:space="preserve">These findings rest on a measurement distinction often conflated in the literature. Token inequality (Gini, dispersion across all holders) and governance concentration (HHI, sum of squared shares across top holders) capture distinct properties of the same holder set. Inequality is severe in every protocol (Gini 0.52 to 0.99), while concentration varies across two orders of magnitude (HHI 0.005 to 0.199); their moderate correlation (r = 0.51) shows that inequality metrics cannot substitute for direct concentration measurement.</w:delText>
        </w:r>
      </w:del>
      <w:ins w:id="2006" w:author="Zach Zukowski (F1 final precision)" w:date="2026-05-12T00:00:00Z">
        <w:r>
          <w:t xml:space="preserve">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t>
        </w:r>
      </w:ins>
    </w:p>
    <w:p>
      <w:pPr>
        <w:spacing w:before="240"/>
      </w:pPr>
      <w:r>
        <w:rPr>
          <w:b/>
        </w:rPr>
        <w:t xml:space="preserve">JEL Codes: </w:t>
      </w:r>
      <w:r>
        <w:rPr/>
        <w:t>C21, D02, D47, D63, D71, D72, G34, L22, </w:t>
      </w:r>
      <w:ins w:id="2007" w:author="Zach Zukowski (F1 final precision)" w:date="2026-05-12T00:00:00Z">
        <w:r>
          <w:rPr/>
          <w:t>O33, </w:t>
        </w:r>
      </w:ins>
      <w:r>
        <w:rPr/>
        <w:t>P48</w:t>
      </w:r>
    </w:p>
    <w:p>
      <w:pPr>
        <w:spacing w:before="240"/>
      </w:pPr>
      <w:r>
        <w:t>Keywords: tokenomics, institutional design, governance concentration, DAO governance, DePIN, delegation amplification, Herfindahl-Hirschman Index, </w:t>
      </w:r>
      <w:del w:id="2008" w:author="Zach Zukowski (F1 final precision)" w:date="2026-05-12T00:00:00Z">
        <w:r>
          <w:delText xml:space="preserve">political philosophy of institutions</w:delText>
        </w:r>
      </w:del>
      <w:ins w:id="2009" w:author="Zach Zukowski (F1 final precision)" w:date="2026-05-12T00:00:00Z">
        <w:r>
          <w:t xml:space="preserve">burn-rule exclusion</w:t>
        </w:r>
      </w:ins>
      <w:r>
        <w:t>, polycentric governance, exclusion methodology</w:t>
      </w:r>
      <w:r>
        <w:rPr/>
      </w:r>
    </w:p>
    <w:p>
      <w:pPr>
        <w:pStyle w:val="Heading1"/>
      </w:pPr>
      <w:r>
        <w:t xml:space="preserve">1 Introduction</w:t>
      </w:r>
    </w:p>
    <w:p>
      <w:pPr>
        <w:pStyle w:val="Heading2"/>
      </w:pPr>
      <w:r>
        <w:t>1.1 Motivation</w:t>
      </w:r>
    </w:p>
    <w:p>
      <w:r>
        <w: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t>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(a blockchain contract verification tool)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t>
      </w:r>
    </w:p>
    <w:p>
      <w:r>
        <w:t xml:space="preserve">Recent 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forty protocols spanning DePIN and adjacent categories.</w:t>
      </w:r>
    </w:p>
    <w:p>
      <w:r>
        <w: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t>In practical terms: every decision about how tokens are distributed, who can vote, what can be changed, and how violations are punished is simultaneously an economic design choice and a political one.</w:t>
      </w:r>
    </w:p>
    <w:p>
      <w:r>
        <w:rPr/>
        <w:t xml:space="preserve">Political philosophy asks:</w:t>
      </w:r>
      <w:r>
        <w:rPr>
          <w:i/>
        </w:rPr>
        <w:t>What makes a rule system just, stable, and worth participating in?</w:t>
      </w:r>
      <w:r>
        <w:rPr/>
        <w:t xml:space="preserve"> Tokenomics asks: </w:t>
      </w:r>
      <w:r>
        <w:rPr>
          <w:i/>
        </w:rPr>
        <w:t xml:space="preserve">What rules and incentives produce participation, security, sustainability, and coordination under strategic behavior?</w:t>
      </w:r>
      <w:r>
        <w:rPr/>
        <w:t xml:space="preserve">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on Helium's fiscal sustainability and demand concentration is developed in a separate study (Zukowski, 2026a).</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b/>
        </w:rPr>
        <w:t xml:space="preserve">Participants are strategic</w:t>
      </w:r>
      <w:r>
        <w:rPr/>
        <w:t xml:space="preserve">; incentives and governance rules shape behavior.</w:t>
      </w:r>
    </w:p>
    <w:p>
      <w:r>
        <w:rPr>
          <w:b/>
        </w:rPr>
        <w:t xml:space="preserve">Legitimacy affects participation</w:t>
      </w:r>
      <w:r>
        <w:rPr/>
        <w:t xml:space="preserve"> persistence and willingness to invest in long-run cooperation.</w:t>
      </w:r>
    </w:p>
    <w:p>
      <w:r>
        <w:rPr>
          <w:b/>
        </w:rPr>
        <w:t xml:space="preserve">Public rule systems</w:t>
      </w:r>
      <w:r>
        <w:rPr/>
        <w:t xml:space="preserve"> can be observed and scored with acceptable reliability using well-defined rubrics.</w:t>
      </w:r>
    </w:p>
    <w:p>
      <w:pPr>
        <w:pStyle w:val="Heading3"/>
      </w:pPr>
      <w:r>
        <w:t>1.4.3 Limitations</w:t>
      </w:r>
    </w:p>
    <w:p>
      <w:r>
        <w:rPr/>
        <w:t>Construct validity: translating philosophical traditions into observable governance features carries inherent simplification risks.</w:t>
      </w:r>
      <w:r>
        <w:t xml:space="preserve"/>
      </w:r>
    </w:p>
    <w:p>
      <w:r>
        <w:rPr/>
        <w: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t>
      </w:r>
    </w:p>
    <w:p>
      <w:r>
        <w:rPr/>
        <w:t>Data limitations: not all outcomes relevant to institutional legitimacy are observable on-chain; capability and welfare dimensions require complementary data beyond the current analysis.</w:t>
      </w:r>
    </w:p>
    <w:p>
      <w:pPr>
        <w:pStyle w:val="Heading2"/>
      </w:pPr>
      <w:r>
        <w:t>1.5 Paper Outline</w:t>
      </w:r>
    </w:p>
    <w:p>
      <w:r>
        <w:rPr>
          <w:b w:val="0"/>
        </w:rPr>
        <w: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t>
      </w:r>
    </w:p>
    <w:p>
      <w:pPr>
        <w:pStyle w:val="Heading1"/>
      </w:pPr>
      <w:r>
        <w:t xml:space="preserve">2 Materials and Methods</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r>
        <w:t>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3.4.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r>
        <w:t>that 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p>
    <w:p>
      <w: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 (2025) similarly maps delegation’s implementation and challenges,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delegates more likely to signal early and cascade alignment; the 3 to 6 times delegation amplification ratios documented in Section 3.5 are consistent with this clumping pattern. Esposito, Tse, and Goh (2025) evaluate quadratic voting and delegated governance against Ostrom’s CPR framework, documenting that tokenization alone is insufficient for inclusive governance.</w:t>
      </w:r>
    </w:p>
    <w:p>
      <w:r>
        <w:rPr/>
        <w:t>Most directly relevant, Cong et al. (2025) provide stylized facts and analysis suggesting persistent concentration in DAOs and governance token trading dynamics, reinforcing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(r = 0.18, p = 0.28) is compatible with this scale-driven concentration mechanism operating independently of initial token distribution.</w:t>
      </w:r>
    </w:p>
    <w:p>
      <w:r>
        <w:rPr/>
        <w:t>Calzada (2025) corroborates these patterns ethnographically across seven Web3 ecosystems, documenting whale dominance and voter turnout below 10% in major DAOs.</w:t>
      </w:r>
    </w:p>
    <w:p>
      <w:r>
        <w:rPr/>
        <w:t>The governance concentration patterns documented in Section 3 are consistent with Williamson’s (1999) “probity hazard”: token holders can comply with smart contract rules while extracting value that contradicts the protocol’s institutional mission, a risk that intensifies as governance power concentrates in fewer addresses.</w:t>
      </w:r>
    </w:p>
    <w:p>
      <w:r>
        <w:rPr/>
        <w:t>Voting power inequality in Compound, Uniswap, and ENS exceeds wealth inequality in real-world economies, with </w:t>
      </w:r>
      <w:r>
        <w:t>voting power more unequally distributed than income in any country (Fritsch, Müller, &amp; Wattenhofer, 2024), a pattern consistent with the delegation amplification documented in Section 3.5;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rPr/>
      </w:pPr>
      <w:ins w:id="1040" w:author="Zach Zukowski (R1 revision)" w:date="2026-05-10T00:00:00Z">
        <w:r>
          <w:t xml:space="preserve">2.4.1 Cooperatives as the Nearest Institutional Ancestor</w:t>
        </w:r>
      </w:ins>
    </w:p>
    <w:p>
      <w:pPr>
        <w:pStyle w:val="Normal"/>
        <w:rPr/>
        <w:rPr/>
      </w:pPr>
      <w:ins w:id="1041" w:author="Zach Zukowski (R1 revision)" w:date="2026-05-10T00:00:00Z">
        <w:r>
          <w:t xml:space="preserve">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Alliance's seven cooperative principles (ICA, 1995), including voluntary membership, democratic member control, and concern for community, map onto legitimacy constraints derived from political philosophy.</w:t>
        </w:r>
      </w:ins>
    </w:p>
    <w:p>
      <w:pPr>
        <w:pStyle w:val="Normal"/>
        <w:rPr/>
        <w:rPr/>
      </w:pPr>
      <w:ins w:id="1042" w:author="Zach Zukowski (R1 revision)" w:date="2026-05-10T00:00:00Z">
        <w: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3 indicate that most protocols have not collapsed the capital-labor boundary in practice: holding HHI values span from cooperative-grade distribution (Anyone Protocol 0.040) to single-party control. Third, cooperatives enforce through bylaws, elected boards, and courts; protocols enforce through code, gaining credible neutrality at the cost of contextual judgment unless appeal mechanisms are designed in. Fourth, cooperatives operate within one jurisdiction's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ins>
    </w:p>
    <w:p>
      <w:pPr>
        <w:pStyle w:val="Normal"/>
        <w:rPr/>
        <w:rPr/>
      </w:pPr>
      <w:ins w:id="1043" w:author="Zach Zukowski (R1 revision)" w:date="2026-05-10T00:00:00Z">
        <w:r>
          <w:t xml:space="preserve">These distinctions define the contribution space: protocols inherit the cooperative's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3 indicate how far current protocols remain from satisfying it.</w:t>
        </w:r>
      </w:ins>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bootstrap supply-side hardware deployment.</w:t>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(a Python-based simulation framework),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Van Vulpen and Jansen (2023) map Ostrom’s eight design principles 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 Li and Chen (2024) conceptualize DAOs as collective stewards of digital commons, adapting Ostrom’s design principles to emphasize equitable distribution of decision-making authority; the governance concentration data in Section 3 test whether operating protocols achieve the distributional outcomes this framing requires. De Filippi et al. (2024) analyze overlapping decision-making structures in blockchain systems through Ostrom’s polycentricity framework, identifying structure, process, and outcome dimensions that map onto the governance concentration, delegation, and participation metrics measured here.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r>
        <w:rPr/>
        <w: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t>
      </w:r>
    </w:p>
    <w:p>
      <w:r>
        <w:rPr/>
        <w: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an exclusion methodology (Section 3.2) that identifies 69 addresses controlled by protocols themselves but appearing on holder lists, correcting a measurement artifact in prior work,</w:t>
      </w:r>
    </w:p>
    <w:p>
      <w:r>
        <w:rPr/>
        <w:t>a cross-sector analysis (Section 3) documenting that sector membership predicts concentration after adjusting for protocol age, valuation, and insider allocation, while initial allocation, maturity, and subsidy intensity do not, and</w:t>
      </w:r>
    </w:p>
    <w:p>
      <w:r>
        <w:rPr/>
        <w:t>a normative framework (Sections 2.9–2.10) translating five political-philosophical traditions into observable design criteria through a scoring rubric that other researchers can apply.</w:t>
      </w:r>
    </w:p>
    <w:p>
      <w:pPr>
        <w:pStyle w:val="Heading2"/>
      </w:pPr>
      <w:r>
        <w:t xml:space="preserve">2.9 Theoretical Framework</w:t>
      </w:r>
    </w:p>
    <w:p>
      <w:pPr>
        <w:pStyle w:val="Heading3"/>
      </w:pPr>
      <w:r>
        <w:t xml:space="preserve">2.9.1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 sanctions (slashing conditions, enforcement procedures, dispute resolution).</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3"/>
      </w:pPr>
      <w:r>
        <w:t xml:space="preserve">2.9.2 Formal Definitions and Notation</w:t>
      </w:r>
    </w:p>
    <w:p>
      <w:pPr>
        <w:pStyle w:val="Normal"/>
      </w:pPr>
      <w:r>
        <w:t>Definition 1 (Sink and Faucet)</w:t>
      </w:r>
    </w:p>
    <w:p>
      <w:r>
        <w:rPr/>
        <w: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t>
      </w:r>
    </w:p>
    <w:p>
      <w:pPr>
        <w:pStyle w:val="Normal"/>
      </w:pPr>
      <w:r>
        <w:t>Definition 2 (Spend-to-Reward Ratio, S2R)</w:t>
      </w:r>
    </w:p>
    <w:p>
      <w:r>
        <w:rPr/>
        <w: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t>
      </w:r>
    </w:p>
    <w:p>
      <w:pPr>
        <w:pStyle w:val="Normal"/>
      </w:pPr>
      <w:r>
        <w:t>Definition 3 (Outcome Domains)</w:t>
      </w:r>
    </w:p>
    <w:p>
      <w:r>
        <w:rPr/>
        <w: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t>
      </w:r>
    </w:p>
    <w:p>
      <w:pPr>
        <w:pStyle w:val="Heading3"/>
      </w:pPr>
      <w:r>
        <w:t xml:space="preserve">2.9.3 Conceptual Model: From Philosophy to Mechanisms to Outcomes</w:t>
      </w:r>
    </w:p>
    <w:p>
      <w:pPr>
        <w:pStyle w:val="Normal"/>
      </w:pPr>
      <w:r>
        <w:t>The conceptual model of tokenomics as applied political philosophy organizes the framework across four layers, shown in Figure 1.</w:t>
      </w:r>
    </w:p>
    <w:p>
      <w:pPr>
        <w:jc w:val="center"/>
      </w:pPr>
      <w:r>
        <w:drawing>
          <wp:inlin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b/>
          <w:i/>
          <w:sz w:val="20"/>
        </w:rPr>
        <w:t xml:space="preserve">Figure 1. </w:t>
      </w:r>
      <w:r>
        <w:rPr>
          <w:i/>
          <w:sz w:val="20"/>
        </w:rPr>
        <w: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ins w:id="1054" w:author="Zach Zukowski (R1 revision)" w:date="2026-05-10T00:00:00Z">
        <w:r>
          <w:rPr>
            <w:color w:val="0070C0"/>
          </w:rPr>
          <w:t xml:space="preserve"> Reading the figure: the arrows trace the design pipeline from philosophical commitments through measurable outcomes; each lens in the rubric is a constraint on permissible designs at the corresponding stage.</w:t>
        </w:r>
      </w:ins>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3"/>
      </w:pPr>
      <w:r>
        <w:t xml:space="preserve">2.9.4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Normal"/>
      </w:pPr>
      <w:r>
        <w:t>Hypothesis 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r>
      <w:r>
        <w:rPr/>
        <w:br/>
        <w:t>Justification: Kant’s publicity principle suggests that political maxims requiring secrecy to succeed are illegitimate; in token systems, secrecy increases perceived arbitrariness and reduces willingness to invest in the future under rule uncertainty.</w:t>
      </w:r>
      <w:r>
        <w:rPr/>
      </w:r>
    </w:p>
    <w:p>
      <w:pPr>
        <w:pStyle w:val="Normal"/>
      </w:pPr>
      <w:r>
        <w:t>Hypothesis 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r>
      <w:r>
        <w:rPr/>
        <w:br/>
        <w:t>Justification: Republican freedom as non-domination requires protection against arbitrary interference; appeals and oversight operationalize that requirement by constraining enforcement discretion.</w:t>
      </w:r>
      <w:r>
        <w:rPr/>
      </w:r>
    </w:p>
    <w:p>
      <w:pPr>
        <w:pStyle w:val="Normal"/>
      </w:pPr>
      <w:r>
        <w:t>Hypothesis 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r>
      <w:r>
        <w:rPr/>
        <w:br/>
        <w:t>Justification: In repeated interaction settings, participants discount future rewards when dilution is unconstrained; sinks create credible coupling between real usage and token scarcity/treasury strength.</w:t>
      </w:r>
      <w:r>
        <w:rPr/>
      </w:r>
    </w:p>
    <w:p>
      <w:pPr>
        <w:pStyle w:val="Normal"/>
      </w:pPr>
      <w:r>
        <w:t>Hypothesis 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pPr>
        <w:pStyle w:val="Normal"/>
      </w:pPr>
      <w:r>
        <w:t>Hypothesis 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r>
      <w:r>
        <w:rPr/>
        <w:br/>
        <w:t>Justification: Ostrom’s polycentric governance emphasizes multiple overlapping decision centers as an efficient response to complex systems.</w:t>
      </w:r>
      <w:r>
        <w:rPr/>
      </w:r>
    </w:p>
    <w:p>
      <w:pPr>
        <w:pStyle w:val="Heading3"/>
      </w:pPr>
      <w:r>
        <w:t xml:space="preserve">2.9.5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w:t>
      </w:r>
      <w:r>
        <w:rPr/>
        <w:t xml:space="preserve">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560"/>
        <w:gridCol w:w="1950"/>
        <w:gridCol w:w="1950"/>
        <w:gridCol w:w="1950"/>
        <w:gridCol w:w="1950"/>
      </w:tblGrid>
      <w:tr>
        <w:tc>
          <w:tcPr>
            <w:tcW w:type="dxa" w:w="1560"/>
            <w:shd w:val="clear" w:fill="F2F2F2"/>
          </w:tcPr>
          <w:p>
            <w:r>
              <w:rPr>
                <w:b/>
                <w:sz w:val="18"/>
              </w:rPr>
              <w:t>Lens</w:t>
            </w:r>
          </w:p>
        </w:tc>
        <w:tc>
          <w:tcPr>
            <w:tcW w:type="dxa" w:w="1950"/>
            <w:shd w:val="clear" w:fill="F2F2F2"/>
          </w:tcPr>
          <w:p>
            <w:r>
              <w:rPr>
                <w:b/>
                <w:sz w:val="18"/>
              </w:rPr>
              <w:t>0 (Absent)</w:t>
            </w:r>
          </w:p>
        </w:tc>
        <w:tc>
          <w:tcPr>
            <w:tcW w:type="dxa" w:w="1950"/>
            <w:shd w:val="clear" w:fill="F2F2F2"/>
          </w:tcPr>
          <w:p>
            <w:r>
              <w:rPr>
                <w:b/>
                <w:sz w:val="18"/>
              </w:rPr>
              <w:t>1 (Minimal)</w:t>
            </w:r>
          </w:p>
        </w:tc>
        <w:tc>
          <w:tcPr>
            <w:tcW w:type="dxa" w:w="1950"/>
            <w:shd w:val="clear" w:fill="F2F2F2"/>
          </w:tcPr>
          <w:p>
            <w:r>
              <w:rPr>
                <w:b/>
                <w:sz w:val="18"/>
              </w:rPr>
              <w:t>2 (Partial)</w:t>
            </w:r>
          </w:p>
        </w:tc>
        <w:tc>
          <w:tcPr>
            <w:tcW w:type="dxa" w:w="1950"/>
            <w:shd w:val="clear" w:fill="F2F2F2"/>
          </w:tcPr>
          <w:p>
            <w:r>
              <w:rPr>
                <w:b/>
                <w:sz w:val="18"/>
              </w:rPr>
              <w:t>3 (Exemplary)</w:t>
            </w:r>
          </w:p>
        </w:tc>
        <w:trPr>
          <w:tblHeader/>
        </w:trPr>
      </w:tr>
      <w:tr>
        <w:tc>
          <w:tcPr>
            <w:tcW w:type="dxa" w:w="1560"/>
          </w:tcPr>
          <w:p>
            <w:r>
              <w:rPr>
                <w:sz w:val="18"/>
              </w:rPr>
              <w:t>Kantian Publicity</w:t>
            </w:r>
          </w:p>
        </w:tc>
        <w:tc>
          <w:tcPr>
            <w:tcW w:type="dxa" w:w="1950"/>
          </w:tcPr>
          <w:p>
            <w:r>
              <w:rPr>
                <w:sz w:val="18"/>
              </w:rPr>
              <w:t>No public governance docs</w:t>
            </w:r>
          </w:p>
        </w:tc>
        <w:tc>
          <w:tcPr>
            <w:tcW w:type="dxa" w:w="1950"/>
          </w:tcPr>
          <w:p>
            <w:r>
              <w:rPr>
                <w:sz w:val="18"/>
              </w:rPr>
              <w:t>Rules exist but hard to find</w:t>
            </w:r>
          </w:p>
        </w:tc>
        <w:tc>
          <w:tcPr>
            <w:tcW w:type="dxa" w:w="1950"/>
          </w:tcPr>
          <w:p>
            <w:r>
              <w:rPr>
                <w:sz w:val="18"/>
              </w:rPr>
              <w:t>Public rules + rationale</w:t>
            </w:r>
          </w:p>
        </w:tc>
        <w:tc>
          <w:tcPr>
            <w:tcW w:type="dxa" w:w="1950"/>
          </w:tcPr>
          <w:p>
            <w:r>
              <w:rPr>
                <w:sz w:val="18"/>
              </w:rPr>
              <w:t>Public rules + deliberation + justification</w:t>
            </w:r>
          </w:p>
        </w:tc>
      </w:tr>
      <w:tr>
        <w:tc>
          <w:tcPr>
            <w:tcW w:type="dxa" w:w="1560"/>
          </w:tcPr>
          <w:p>
            <w:r>
              <w:rPr>
                <w:sz w:val="18"/>
              </w:rPr>
              <w:t>Rawlsian Fairness</w:t>
            </w:r>
          </w:p>
        </w:tc>
        <w:tc>
          <w:tcPr>
            <w:tcW w:type="dxa" w:w="1950"/>
          </w:tcPr>
          <w:p>
            <w:r>
              <w:rPr>
                <w:sz w:val="18"/>
              </w:rPr>
              <w:t>No floor-raising mechanism</w:t>
            </w:r>
          </w:p>
        </w:tc>
        <w:tc>
          <w:tcPr>
            <w:tcW w:type="dxa" w:w="1950"/>
          </w:tcPr>
          <w:p>
            <w:r>
              <w:rPr>
                <w:sz w:val="18"/>
              </w:rPr>
              <w:t>Basic airdrop only</w:t>
            </w:r>
          </w:p>
        </w:tc>
        <w:tc>
          <w:tcPr>
            <w:tcW w:type="dxa" w:w="1950"/>
          </w:tcPr>
          <w:p>
            <w:r>
              <w:rPr>
                <w:sz w:val="18"/>
              </w:rPr>
              <w:t>Graduated fee tiers or grants</w:t>
            </w:r>
          </w:p>
        </w:tc>
        <w:tc>
          <w:tcPr>
            <w:tcW w:type="dxa" w:w="1950"/>
          </w:tcPr>
          <w:p>
            <w:r>
              <w:rPr>
                <w:sz w:val="18"/>
              </w:rPr>
              <w:t>Systematic equity mechanisms + measured gaps</w:t>
            </w:r>
          </w:p>
        </w:tc>
      </w:tr>
      <w:tr>
        <w:tc>
          <w:tcPr>
            <w:tcW w:type="dxa" w:w="1560"/>
          </w:tcPr>
          <w:p>
            <w:r>
              <w:rPr>
                <w:sz w:val="18"/>
              </w:rPr>
              <w:t>Pettit Contestation</w:t>
            </w:r>
          </w:p>
        </w:tc>
        <w:tc>
          <w:tcPr>
            <w:tcW w:type="dxa" w:w="1950"/>
          </w:tcPr>
          <w:p>
            <w:r>
              <w:rPr>
                <w:sz w:val="18"/>
              </w:rPr>
              <w:t>No appeals or checks</w:t>
            </w:r>
          </w:p>
        </w:tc>
        <w:tc>
          <w:tcPr>
            <w:tcW w:type="dxa" w:w="1950"/>
          </w:tcPr>
          <w:p>
            <w:r>
              <w:rPr>
                <w:sz w:val="18"/>
              </w:rPr>
              <w:t>Informal complaints possible</w:t>
            </w:r>
          </w:p>
        </w:tc>
        <w:tc>
          <w:tcPr>
            <w:tcW w:type="dxa" w:w="1950"/>
          </w:tcPr>
          <w:p>
            <w:r>
              <w:rPr>
                <w:sz w:val="18"/>
              </w:rPr>
              <w:t>Formal appeal mechanism exists</w:t>
            </w:r>
          </w:p>
        </w:tc>
        <w:tc>
          <w:tcPr>
            <w:tcW w:type="dxa" w:w="1950"/>
          </w:tcPr>
          <w:p>
            <w:r>
              <w:rPr>
                <w:sz w:val="18"/>
              </w:rPr>
              <w:t>Independent arbitration + veto rights</w:t>
            </w:r>
          </w:p>
        </w:tc>
      </w:tr>
      <w:tr>
        <w:tc>
          <w:tcPr>
            <w:tcW w:type="dxa" w:w="1560"/>
          </w:tcPr>
          <w:p>
            <w:r>
              <w:rPr>
                <w:sz w:val="18"/>
              </w:rPr>
              <w:t>Ostrom Polycentricity</w:t>
            </w:r>
          </w:p>
        </w:tc>
        <w:tc>
          <w:tcPr>
            <w:tcW w:type="dxa" w:w="1950"/>
          </w:tcPr>
          <w:p>
            <w:r>
              <w:rPr>
                <w:sz w:val="18"/>
              </w:rPr>
              <w:t>Single decision center</w:t>
            </w:r>
          </w:p>
        </w:tc>
        <w:tc>
          <w:tcPr>
            <w:tcW w:type="dxa" w:w="1950"/>
          </w:tcPr>
          <w:p>
            <w:r>
              <w:rPr>
                <w:sz w:val="18"/>
              </w:rPr>
              <w:t>Advisory subcommittees</w:t>
            </w:r>
          </w:p>
        </w:tc>
        <w:tc>
          <w:tcPr>
            <w:tcW w:type="dxa" w:w="1950"/>
          </w:tcPr>
          <w:p>
            <w:r>
              <w:rPr>
                <w:sz w:val="18"/>
              </w:rPr>
              <w:t>Functional subDAOs with budgets</w:t>
            </w:r>
          </w:p>
        </w:tc>
        <w:tc>
          <w:tcPr>
            <w:tcW w:type="dxa" w:w="1950"/>
          </w:tcPr>
          <w:p>
            <w:r>
              <w:rPr>
                <w:sz w:val="18"/>
              </w:rPr>
              <w:t>Nested governance with local autonomy</w:t>
            </w:r>
          </w:p>
        </w:tc>
      </w:tr>
      <w:tr>
        <w:tc>
          <w:tcPr>
            <w:tcW w:type="dxa" w:w="1560"/>
          </w:tcPr>
          <w:p>
            <w:r>
              <w:rPr>
                <w:sz w:val="18"/>
              </w:rPr>
              <w:t>Hayek Knowledge</w:t>
            </w:r>
          </w:p>
        </w:tc>
        <w:tc>
          <w:tcPr>
            <w:tcW w:type="dxa" w:w="1950"/>
          </w:tcPr>
          <w:p>
            <w:r>
              <w:rPr>
                <w:sz w:val="18"/>
              </w:rPr>
              <w:t>Fixed parameters</w:t>
            </w:r>
          </w:p>
        </w:tc>
        <w:tc>
          <w:tcPr>
            <w:tcW w:type="dxa" w:w="1950"/>
          </w:tcPr>
          <w:p>
            <w:r>
              <w:rPr>
                <w:sz w:val="18"/>
              </w:rPr>
              <w:t>Admin-adjusted parameters</w:t>
            </w:r>
          </w:p>
        </w:tc>
        <w:tc>
          <w:tcPr>
            <w:tcW w:type="dxa" w:w="1950"/>
          </w:tcPr>
          <w:p>
            <w:r>
              <w:rPr>
                <w:sz w:val="18"/>
              </w:rPr>
              <w:t>Automated price signals</w:t>
            </w:r>
          </w:p>
        </w:tc>
        <w:tc>
          <w:tcPr>
            <w:tcW w:type="dxa" w:w="1950"/>
          </w:tcPr>
          <w:p>
            <w:r>
              <w:rPr>
                <w:sz w:val="18"/>
              </w:rPr>
              <w:t>Demand-coupled mechanisms + edge feedback</w:t>
            </w:r>
          </w:p>
        </w:tc>
      </w:tr>
    </w:tbl>
    <w:p>
      <w:r>
        <w:rPr>
          <w:b/>
          <w:i/>
          <w:sz w:val="20"/>
        </w:rPr>
        <w:t xml:space="preserve">Table 1. </w:t>
      </w:r>
      <w:r>
        <w:rPr>
          <w:i/>
          <w:sz w:val="20"/>
        </w:rPr>
        <w: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b/>
          <w:i/>
          <w:sz w:val="20"/>
        </w:rPr>
        <w:t xml:space="preserve">Figure 2. </w:t>
      </w:r>
      <w:r>
        <w:rPr>
          <w:i/>
          <w:sz w:val="20"/>
        </w:rPr>
        <w: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w:t>
      </w:r>
      <w:ins w:id="1055" w:author="Zach Zukowski (R1 revision)" w:date="2026-05-10T00:00:00Z">
        <w:r>
          <w:rPr>
            <w:color w:val="0070C0"/>
          </w:rPr>
          <w:t xml:space="preserve"> Reading the figure: each axis represents a separate philosophical lens; protocols satisfying multiple lenses occupy upper-right regions.</w:t>
        </w:r>
      </w:ins>
    </w:p>
    <w:p>
      <w:pPr>
        <w:pStyle w:val="Heading2"/>
      </w:pPr>
      <w:r>
        <w:t xml:space="preserve">2.10 Framework Operationalization</w:t>
      </w:r>
    </w:p>
    <w:p>
      <w:pPr>
        <w:pStyle w:val="Heading3"/>
      </w:pPr>
      <w:r>
        <w:t xml:space="preserve">2.10.1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3"/>
      </w:pPr>
      <w:r>
        <w:t xml:space="preserve">2.10.2 Units of Analysis and Sampling Strategy</w:t>
      </w:r>
    </w:p>
    <w:p>
      <w:pPr>
        <w:pStyle w:val="Normal"/>
        <w:rPr/>
        <w:rPr/>
      </w:pPr>
      <w:ins w:id="1045" w:author="Zach Zukowski (R1 revision)" w:date="2026-05-10T00:00:00Z">
        <w:r>
          <w:t xml:space="preserve">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t>
        </w:r>
      </w:ins>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r>
        <w:t xml:space="preserv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t>
      </w:r>
      <w:hyperlink r:id="rId23" w:history="1">
        <w:r>
          <w:rPr>
            <w:color w:val="0563C1"/>
            <w:u w:val="single"/>
          </w:rPr>
          <w:t xml:space="preserve">Supplementary File S6</w:t>
        </w:r>
      </w:hyperlink>
      <w:r>
        <w:t xml:space="preserve">.</w:t>
      </w:r>
    </w:p>
    <w:p>
      <w:pPr>
        <w:jc w:val="center"/>
      </w:pPr>
      <w:r>
        <w:rPr/>
        <w:drawing>
          <wp:inline distT="0" distB="0" distL="0" distR="0">
            <wp:extent cx="5029200" cy="5136435"/>
            <wp:effectExtent l="0" t="0" r="0" b="0"/>
            <wp:docPr id="99" name="fig3_hhi_bar"/>
            <wp:cNvGraphicFramePr>
              <a:graphicFrameLocks noChangeAspect="1"/>
            </wp:cNvGraphicFramePr>
            <a:graphic>
              <a:graphicData uri="http://schemas.openxmlformats.org/drawingml/2006/picture">
                <pic:pic>
                  <pic:nvPicPr>
                    <pic:cNvPr id="99" name="fig3_hhi_bar"/>
                    <pic:cNvPicPr/>
                  </pic:nvPicPr>
                  <pic:blipFill>
                    <a:blip r:embed="rId9"/>
                    <a:stretch>
                      <a:fillRect/>
                    </a:stretch>
                  </pic:blipFill>
                  <pic:spPr>
                    <a:xfrm>
                      <a:off x="0" y="0"/>
                      <a:ext cx="5029200" cy="5136435"/>
                    </a:xfrm>
                    <a:prstGeom prst="rect">
                      <a:avLst/>
                    </a:prstGeom>
                  </pic:spPr>
                </pic:pic>
              </a:graphicData>
            </a:graphic>
          </wp:inline>
        </w:drawing>
      </w:r>
    </w:p>
    <w:p>
      <w:r>
        <w:rPr>
          <w:b/>
          <w:i/>
          <w:sz w:val="20"/>
        </w:rPr>
        <w:t xml:space="preserve">Figure 3. </w:t>
      </w:r>
      <w:r>
        <w:rPr>
          <w:i/>
          <w:sz w:val="20"/>
        </w:rPr>
        <w:t>Holding-based Herfindahl-Hirschman Index (HHI) across 40 governance tokens (March 2026 snapshot, top-1,000 holders, protocol-controlled addresses excluded). Dashed lines indicate category means. Protocols sorted by category then HHI ascending.</w:t>
      </w:r>
      <w:ins w:id="1056" w:author="Zach Zukowski (R1 revision)" w:date="2026-05-10T00:00:00Z">
        <w:r>
          <w:rPr>
            <w:color w:val="0070C0"/>
          </w:rPr>
          <w:t xml:space="preserve"> Reading the figure: bars show pre-exclusion HHI; the post-exclusion overlay indicates how much measured concentration was protocol-controlled rather than governance-relevant.</w:t>
        </w:r>
      </w:ins>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3"/>
      </w:pPr>
      <w:r>
        <w:t xml:space="preserve">2.10.3 Data Sources (Replicable, Multi-Disciplinary)</w:t>
      </w:r>
    </w:p>
    <w:p>
      <w:r>
        <w:rPr/>
        <w:t xml:space="preserve">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t>
      </w:r>
    </w:p>
    <w:p>
      <w:pPr>
        <w:pStyle w:val="Heading3"/>
      </w:pPr>
      <w:r>
        <w:t xml:space="preserve">2.10.4 Codebook and Rubric</w:t>
      </w:r>
    </w:p>
    <w:p>
      <w:pPr>
        <w:pStyle w:val="Normal"/>
        <w:rPr/>
        <w:rPr/>
      </w:pPr>
      <w:ins w:id="1044" w:author="Zach Zukowski (R1 revision)" w:date="2026-05-10T00:00:00Z">
        <w:r>
          <w:t xml:space="preserve">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section 4.8 limitations.</w:t>
        </w:r>
      </w:ins>
    </w:p>
    <w:p>
      <w: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t>
      </w:r>
      <w:hyperlink r:id="rId18" w:history="1">
        <w:r>
          <w:rPr>
            <w:color w:val="0563C1"/>
            <w:u w:val="single"/>
          </w:rPr>
          <w:t xml:space="preserve">Supplementary File S1</w:t>
        </w:r>
      </w:hyperlink>
      <w:r>
        <w:t xml:space="preserve">.</w:t>
      </w:r>
    </w:p>
    <w:p>
      <w:pPr>
        <w:pStyle w:val="Heading3"/>
      </w:pPr>
      <w:r>
        <w:t xml:space="preserve">2.10.5 Philosophy Scoring Rubric: Translating Normative Theory into Observable Criteria</w:t>
      </w:r>
    </w:p>
    <w:p>
      <w:r>
        <w:t xml:space="preserve">The scoring rubric is a second machine-readable table (</w:t>
      </w:r>
      <w:hyperlink r:id="rId19" w:history="1">
        <w:r>
          <w:rPr>
            <w:color w:val="0563C1"/>
            <w:u w:val="single"/>
          </w:rPr>
          <w:t xml:space="preserve">Supplementary File S2</w:t>
        </w:r>
      </w:hyperlink>
      <w:r>
        <w:t xml:space="preserve">)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t>
      </w:r>
    </w:p>
    <w:p>
      <w:r>
        <w: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t>
      </w:r>
    </w:p>
    <w:p>
      <w:r>
        <w:t xml:space="preserve">Table 2 demonstrates the rubric applied to three protocols spanning the DeFi–DePIN divide; full scoring sheets for all 12 scored protocols, with evidence links, are provided in </w:t>
      </w:r>
      <w:hyperlink r:id="rId20" w:history="1">
        <w:r>
          <w:rPr>
            <w:color w:val="0563C1"/>
            <w:u w:val="single"/>
          </w:rPr>
          <w:t xml:space="preserve">Supplementary File S3</w:t>
        </w:r>
      </w:hyperlink>
      <w:r>
        <w:t xml:space="preserve">. Scores are assigned by a single coder; inter-rater reliability testing with a second scorer is specified as future work.</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200"/>
        <w:gridCol w:w="1080"/>
        <w:gridCol w:w="1080"/>
        <w:gridCol w:w="1200"/>
        <w:gridCol w:w="1200"/>
        <w:gridCol w:w="1260"/>
        <w:gridCol w:w="2340"/>
      </w:tblGrid>
      <w:tr>
        <w:tc>
          <w:tcPr>
            <w:tcW w:type="dxa" w:w="1200"/>
            <w:shd w:val="clear" w:fill="F2F2F2"/>
          </w:tcPr>
          <w:p>
            <w:r>
              <w:rPr>
                <w:b/>
                <w:sz w:val="18"/>
              </w:rPr>
              <w:t>Protocol</w:t>
            </w:r>
          </w:p>
        </w:tc>
        <w:tc>
          <w:tcPr>
            <w:tcW w:type="dxa" w:w="1080"/>
            <w:shd w:val="clear" w:fill="F2F2F2"/>
          </w:tcPr>
          <w:p>
            <w:r>
              <w:rPr>
                <w:b/>
                <w:sz w:val="18"/>
              </w:rPr>
              <w:t>Publicity</w:t>
            </w:r>
          </w:p>
        </w:tc>
        <w:tc>
          <w:tcPr>
            <w:tcW w:type="dxa" w:w="1080"/>
            <w:shd w:val="clear" w:fill="F2F2F2"/>
          </w:tcPr>
          <w:p>
            <w:r>
              <w:rPr>
                <w:b/>
                <w:sz w:val="18"/>
              </w:rPr>
              <w:t>Fairness</w:t>
            </w:r>
          </w:p>
        </w:tc>
        <w:tc>
          <w:tcPr>
            <w:tcW w:type="dxa" w:w="1200"/>
            <w:shd w:val="clear" w:fill="F2F2F2"/>
          </w:tcPr>
          <w:p>
            <w:r>
              <w:rPr>
                <w:b/>
                <w:sz w:val="18"/>
              </w:rPr>
              <w:t xml:space="preserve">Non-Dom.</w:t>
            </w:r>
          </w:p>
        </w:tc>
        <w:tc>
          <w:tcPr>
            <w:tcW w:type="dxa" w:w="1200"/>
            <w:shd w:val="clear" w:fill="F2F2F2"/>
          </w:tcPr>
          <w:p>
            <w:r>
              <w:rPr>
                <w:b/>
                <w:sz w:val="18"/>
              </w:rPr>
              <w:t>Polycentric</w:t>
            </w:r>
          </w:p>
        </w:tc>
        <w:tc>
          <w:tcPr>
            <w:tcW w:type="dxa" w:w="1260"/>
            <w:noWrap/>
            <w:shd w:val="clear" w:fill="F2F2F2"/>
          </w:tcPr>
          <w:p>
            <w:r>
              <w:rPr>
                <w:b/>
                <w:sz w:val="18"/>
              </w:rPr>
              <w:t>Knowledge</w:t>
            </w:r>
          </w:p>
        </w:tc>
        <w:tc>
          <w:tcPr>
            <w:tcW w:type="dxa" w:w="2340"/>
            <w:shd w:val="clear" w:fill="F2F2F2"/>
          </w:tcPr>
          <w:p>
            <w:r>
              <w:rPr>
                <w:b/>
                <w:sz w:val="18"/>
              </w:rPr>
              <w:t>Key evidence note</w:t>
            </w:r>
          </w:p>
        </w:tc>
        <w:trPr>
          <w:tblHeader/>
        </w:trPr>
      </w:tr>
      <w:tr>
        <w:trPr>
          <w:cantSplit/>
        </w:trPr>
        <w:tc>
          <w:tcPr>
            <w:tcW w:type="dxa" w:w="12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2340"/>
          </w:tcPr>
          <w:p>
            <w:r>
              <w:rPr>
                <w:sz w:val="18"/>
              </w:rPr>
              <w:t>Forum + Snapshot + on-chain vote; HHI 0.114; delegate concentration high</w:t>
            </w:r>
          </w:p>
        </w:tc>
      </w:tr>
      <w:tr>
        <w:trPr>
          <w:cantSplit/>
        </w:trPr>
        <w:tc>
          <w:tcPr>
            <w:tcW w:type="dxa" w:w="1200"/>
          </w:tcPr>
          <w:p>
            <w:r>
              <w:rPr>
                <w:sz w:val="18"/>
              </w:rPr>
              <w:t>Hyperliquid (DeFi)</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0</w:t>
            </w:r>
          </w:p>
        </w:tc>
        <w:tc>
          <w:tcPr>
            <w:tcW w:type="dxa" w:w="1080"/>
          </w:tcPr>
          <w:p>
            <w:r>
              <w:rPr>
                <w:sz w:val="18"/>
              </w:rPr>
              <w:t>2</w:t>
            </w:r>
          </w:p>
        </w:tc>
        <w:tc>
          <w:tcPr>
            <w:tcW w:type="dxa" w:w="2340"/>
          </w:tcPr>
          <w:p>
            <w:r>
              <w:rPr>
                <w:sz w:val="18"/>
              </w:rPr>
              <w:t>Zero VC + 31% airdrop; HHI 0.005; Assistance Fund auto-burns 97% of fees</w:t>
            </w:r>
          </w:p>
        </w:tc>
      </w:tr>
      <w:tr>
        <w:trPr>
          <w:cantSplit/>
        </w:trPr>
        <w:tc>
          <w:tcPr>
            <w:tcW w:type="dxa" w:w="12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3</w:t>
            </w:r>
          </w:p>
        </w:tc>
        <w:tc>
          <w:tcPr>
            <w:tcW w:type="dxa" w:w="1080"/>
          </w:tcPr>
          <w:p>
            <w:r>
              <w:rPr>
                <w:sz w:val="18"/>
              </w:rPr>
              <w:t>3</w:t>
            </w:r>
          </w:p>
        </w:tc>
        <w:tc>
          <w:tcPr>
            <w:tcW w:type="dxa" w:w="2340"/>
          </w:tcPr>
          <w:p>
            <w:r>
              <w:rPr>
                <w:sz w:val="18"/>
              </w:rPr>
              <w:t>Helium Improvement Proposal (HIP) process public; subDAO structure; HHI 0.102; HIP-147 reform</w:t>
            </w:r>
          </w:p>
        </w:tc>
      </w:tr>
      <w:tr>
        <w:trPr>
          <w:cantSplit/>
        </w:trPr>
        <w:tc>
          <w:tcPr>
            <w:tcW w:type="dxa" w:w="1200"/>
          </w:tcPr>
          <w:p>
            <w:r>
              <w:rPr>
                <w:sz w:val="18"/>
              </w:rPr>
              <w:t>GEODNET (DePIN)</w:t>
            </w:r>
          </w:p>
        </w:tc>
        <w:tc>
          <w:tcPr>
            <w:tcW w:type="dxa" w:w="1080"/>
          </w:tcPr>
          <w:p>
            <w:r>
              <w:rPr>
                <w:sz w:val="18"/>
              </w:rPr>
              <w:t>2</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2</w:t>
            </w:r>
          </w:p>
        </w:tc>
        <w:tc>
          <w:tcPr>
            <w:tcW w:type="dxa" w:w="2340"/>
          </w:tcPr>
          <w:p>
            <w:r>
              <w:rPr>
                <w:sz w:val="18"/>
              </w:rPr>
              <w:t>B2B subscription-burn (Real-Time Kinematic GPS service); HHI 0.132; Snapshot DAO; demand-coupled</w:t>
            </w:r>
          </w:p>
        </w:tc>
      </w:tr>
      <w:tr>
        <w:trPr>
          <w:cantSplit/>
        </w:trPr>
        <w:tc>
          <w:tcPr>
            <w:tcW w:type="dxa" w:w="12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2340"/>
          </w:tcPr>
          <w:p>
            <w:r>
              <w:rPr>
                <w:sz w:val="18"/>
              </w:rPr>
              <w:t>Low HHI (0.040); early-stage governance; limited formal process</w:t>
            </w:r>
          </w:p>
        </w:tc>
      </w:tr>
    </w:tbl>
    <w:p>
      <w:r>
        <w:rPr>
          <w:b/>
          <w:i/>
          <w:sz w:val="20"/>
        </w:rPr>
        <w:t xml:space="preserve">Table 2. </w:t>
      </w:r>
      <w:r>
        <w:rPr>
          <w:i/>
          <w:sz w:val="20"/>
        </w:rPr>
        <w:t xml:space="preserve">Illustrative rubric scores (0 = absent, 1 = minimal, 2 = partial, 3 = exemplary). Scores are by a single coder; full evidence sheets in </w:t>
      </w:r>
      <w:hyperlink r:id="rId20" w:history="1">
        <w:r>
          <w:rPr>
            <w:color w:val="0563C1"/>
            <w:u w:val="single"/>
          </w:rPr>
          <w:t xml:space="preserve">Supplementary File S3</w:t>
        </w:r>
      </w:hyperlink>
      <w:r>
        <w:rPr>
          <w:i/>
          <w:sz w:val="20"/>
        </w:rPr>
        <w:t xml:space="preserve">.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t>
      </w:r>
    </w:p>
    <w:p>
      <w:pPr>
        <w:pStyle w:val="Heading3"/>
      </w:pPr>
      <w:r>
        <w:t xml:space="preserve">2.10.6 Outcome Variables</w:t>
      </w:r>
    </w:p>
    <w:p>
      <w:r>
        <w:rPr>
          <w:b w:val="0"/>
        </w:rPr>
        <w: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t>
      </w:r>
    </w:p>
    <w:p>
      <w:r>
        <w:rPr>
          <w:b w:val="0"/>
        </w:rPr>
        <w: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t>
      </w:r>
    </w:p>
    <w:p>
      <w:r>
        <w:rPr>
          <w:b w:val="0"/>
        </w:rPr>
        <w:t xml:space="preserve">Full metric definitions, computation procedures, and Dune query specifications are provided in </w:t>
      </w:r>
      <w:hyperlink r:id="rId18" w:history="1">
        <w:r>
          <w:rPr>
            <w:color w:val="0563C1"/>
            <w:u w:val="single"/>
          </w:rPr>
          <w:t xml:space="preserve">Supplementary File S1</w:t>
        </w:r>
      </w:hyperlink>
      <w:r>
        <w:rPr>
          <w:b w:val="0"/>
        </w:rPr>
        <w:t xml:space="preserve">.</w:t>
      </w:r>
    </w:p>
    <w:p>
      <w:pPr>
        <w:pStyle w:val="Heading3"/>
      </w:pPr>
      <w:r>
        <w:t xml:space="preserve">2.10.7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t>
      </w:r>
      <w:hyperlink r:id="rId22" w:history="1">
        <w:r>
          <w:rPr>
            <w:color w:val="0563C1"/>
            <w:u w:val="single"/>
          </w:rPr>
          <w:t xml:space="preserve">Supplementary File S5</w:t>
        </w:r>
      </w:hyperlink>
      <w:r>
        <w:t xml:space="preserve">) for replication and extension by future researchers.</w:t>
      </w:r>
    </w:p>
    <w:p>
      <w:pPr>
        <w:pStyle w:val="Heading3"/>
      </w:pPr>
      <w:r>
        <w:t xml:space="preserve">2.10.8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t>
      </w:r>
    </w:p>
    <w:p>
      <w:pPr>
        <w:pStyle w:val="Heading1"/>
      </w:pPr>
      <w:r>
        <w:t xml:space="preserve">3 Results</w:t>
      </w:r>
    </w:p>
    <w:p>
      <w:pPr>
        <w:pStyle w:val="Heading2"/>
      </w:pPr>
      <w:r>
        <w:t xml:space="preserve">3.1 Scope and Claims Boundary</w:t>
      </w:r>
    </w:p>
    <w:p>
      <w:r>
        <w:rPr>
          <w:b w:val="0"/>
        </w:rPr>
        <w: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120"/>
        <w:gridCol w:w="3120"/>
        <w:gridCol w:w="3120"/>
      </w:tblGrid>
      <w:tr>
        <w:tc>
          <w:tcPr>
            <w:tcW w:type="dxa" w:w="3120"/>
            <w:shd w:val="clear" w:fill="F2F2F2"/>
          </w:tcPr>
          <w:p>
            <w:r>
              <w:rPr>
                <w:b/>
                <w:sz w:val="18"/>
              </w:rPr>
              <w:t>Claim</w:t>
            </w:r>
          </w:p>
        </w:tc>
        <w:tc>
          <w:tcPr>
            <w:tcW w:type="dxa" w:w="3120"/>
            <w:shd w:val="clear" w:fill="F2F2F2"/>
          </w:tcPr>
          <w:p>
            <w:r>
              <w:rPr>
                <w:b/>
                <w:sz w:val="18"/>
              </w:rPr>
              <w:t>Evidence Grade</w:t>
            </w:r>
          </w:p>
        </w:tc>
        <w:tc>
          <w:tcPr>
            <w:tcW w:type="dxa" w:w="3120"/>
            <w:shd w:val="clear" w:fill="F2F2F2"/>
          </w:tcPr>
          <w:p>
            <w:r>
              <w:rPr>
                <w:b/>
                <w:sz w:val="18"/>
              </w:rPr>
              <w:t>Pointer</w:t>
            </w:r>
          </w:p>
        </w:tc>
      </w:tr>
      <w:tr>
        <w:tc>
          <w:tcPr>
            <w:tcW w:type="dxa" w:w="3120"/>
          </w:tcPr>
          <w:p>
            <w:r>
              <w:rPr>
                <w:sz w:val="18"/>
              </w:rPr>
              <w:t>Governance concentration is descriptively higher in DePIN than DeFi</w:t>
            </w:r>
          </w:p>
        </w:tc>
        <w:tc>
          <w:tcPr>
            <w:tcW w:type="dxa" w:w="3120"/>
          </w:tcPr>
          <w:p>
            <w:r>
              <w:rPr>
                <w:sz w:val="18"/>
              </w:rPr>
              <w:t>Descriptive</w:t>
            </w:r>
          </w:p>
        </w:tc>
        <w:tc>
          <w:tcPr>
            <w:tcW w:type="dxa" w:w="3120"/>
          </w:tcPr>
          <w:p>
            <w:r>
              <w:rPr>
                <w:sz w:val="18"/>
              </w:rPr>
              <w:t>Table 4</w:t>
            </w:r>
          </w:p>
        </w:tc>
      </w:tr>
      <w:tr>
        <w:tc>
          <w:tcPr>
            <w:tcW w:type="dxa" w:w="3120"/>
          </w:tcPr>
          <w:p>
            <w:r>
              <w:rPr>
                <w:sz w:val="18"/>
              </w:rPr>
              <w:t>The scoring rubric translates philosophy into measurement</w:t>
            </w:r>
          </w:p>
        </w:tc>
        <w:tc>
          <w:tcPr>
            <w:tcW w:type="dxa" w:w="3120"/>
          </w:tcPr>
          <w:p>
            <w:r>
              <w:rPr>
                <w:sz w:val="18"/>
              </w:rPr>
              <w:t>Methodological</w:t>
            </w:r>
          </w:p>
        </w:tc>
        <w:tc>
          <w:tcPr>
            <w:tcW w:type="dxa" w:w="3120"/>
          </w:tcPr>
          <w:p>
            <w:r>
              <w:rPr>
                <w:sz w:val="18"/>
              </w:rPr>
              <w:t xml:space="preserve">Table 1 + </w:t>
            </w:r>
            <w:hyperlink r:id="rId18" w:history="1">
              <w:r>
                <w:rPr>
                  <w:color w:val="0563C1"/>
                  <w:u w:val="single"/>
                </w:rPr>
                <w:t xml:space="preserve">Supplementary File S1</w:t>
              </w:r>
            </w:hyperlink>
          </w:p>
        </w:tc>
      </w:tr>
      <w:tr>
        <w:tc>
          <w:tcPr>
            <w:tcW w:type="dxa" w:w="3120"/>
          </w:tcPr>
          <w:p>
            <w:r>
              <w:rPr>
                <w:sz w:val="18"/>
              </w:rPr>
              <w:t>Five core design hypotheses follow from the normative framework</w:t>
            </w:r>
          </w:p>
        </w:tc>
        <w:tc>
          <w:tcPr>
            <w:tcW w:type="dxa" w:w="3120"/>
          </w:tcPr>
          <w:p>
            <w:r>
              <w:rPr>
                <w:sz w:val="18"/>
              </w:rPr>
              <w:t>Theoretical</w:t>
            </w:r>
          </w:p>
        </w:tc>
        <w:tc>
          <w:tcPr>
            <w:tcW w:type="dxa" w:w="3120"/>
          </w:tcPr>
          <w:p>
            <w:r>
              <w:rPr>
                <w:sz w:val="18"/>
              </w:rPr>
              <w:t>Section 4.1</w:t>
            </w:r>
          </w:p>
        </w:tc>
      </w:tr>
    </w:tbl>
    <w:p>
      <w:r>
        <w:rPr>
          <w:b/>
          <w:i/>
          <w:sz w:val="20"/>
        </w:rPr>
        <w:t xml:space="preserve">Table 3. </w:t>
      </w:r>
      <w:r>
        <w:rPr>
          <w:i/>
          <w:sz w:val="20"/>
        </w:rPr>
        <w:t>Claims boundary: what this paper does and does not claim.</w:t>
      </w:r>
    </w:p>
    <w:p>
      <w:pPr>
        <w:pStyle w:val="Heading2"/>
      </w:pPr>
      <w:r>
        <w:t xml:space="preserve">3.2 Cross-Protocol Concentration</w:t>
      </w:r>
    </w:p>
    <w:p>
      <w:pPr>
        <w:pStyle w:val="Normal"/>
        <w:rPr/>
        <w:rPr/>
      </w:pPr>
      <w:ins w:id="1046" w:author="Zach Zukowski (R1 revision)" w:date="2026-05-10T00:00:00Z">
        <w:r>
          <w:t xml:space="preserve">A measurement caveat: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 delegation patterns, or proposal-rights concentration. The HHI captures one dimension of concentration (post-exclusion holding distribution) and is not a sufficient condition for distributed governance.</w:t>
        </w:r>
      </w:ins>
    </w:p>
    <w:p>
      <w:r>
        <w:rPr>
          <w:b w:val="0"/>
        </w:rPr>
        <w:t>Governance concentration spans two orders of magnitude across the 40-protocol sample (Table 4): HHI ranges from 0.005 (Hyperliquid) to 0.199 (Livepeer), with a median near 0.04. DePIN protocols cluster in the upper half of this distribution. Livepeer is the clearest structural outlier; excluding it leaves a distribution in which DePIN still exhibits higher concentration than DeFi but without a dominant leverage point.</w:t>
      </w:r>
    </w:p>
    <w:p>
      <w:r>
        <w:rPr>
          <w:b w:val="0"/>
        </w:rPr>
        <w:t xml:space="preserve">Concentration metrics are computed from Dune Analytics multi-chain queries and the Helius DAS API for Solana SPL tokens (March 2026 snapshot, top-1000 holders per protocol), after excluding 69 protocol-controlled addresses across 20 protocols (staking contracts, exchange custodians, vesting locks, protocol treasuries; see </w:t>
      </w:r>
      <w:hyperlink r:id="rId23" w:history="1">
        <w:r>
          <w:rPr>
            <w:color w:val="0563C1"/>
            <w:u w:val="single"/>
          </w:rPr>
          <w:t xml:space="preserve">Supplementary File S6</w:t>
        </w:r>
      </w:hyperlink>
      <w:r>
        <w:rPr>
          <w:b w:val="0"/>
        </w:rPr>
        <w:t xml:space="preserve">). Solana-native tokens use getTokenAccounts with page-based pagination to correct systematic undercounting in Dune’s indexed tables. Replication scripts and input CSVs are listed in Supplementary File S5.</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620"/>
        <w:gridCol w:w="1200"/>
        <w:gridCol w:w="1080"/>
        <w:gridCol w:w="960"/>
        <w:gridCol w:w="960"/>
        <w:gridCol w:w="960"/>
        <w:gridCol w:w="1080"/>
        <w:gridCol w:w="1500"/>
      </w:tblGrid>
      <w:tr>
        <w:tc>
          <w:tcPr>
            <w:tcW w:type="dxa" w:w="1620"/>
            <w:shd w:val="clear" w:fill="F2F2F2"/>
          </w:tcPr>
          <w:p>
            <w:r>
              <w:rPr>
                <w:sz w:val="18"/>
              </w:rPr>
              <w:t>Protocol</w:t>
            </w:r>
          </w:p>
        </w:tc>
        <w:tc>
          <w:tcPr>
            <w:tcW w:type="dxa" w:w="1200"/>
            <w:shd w:val="clear" w:fill="F2F2F2"/>
          </w:tcPr>
          <w:p>
            <w:r>
              <w:rPr>
                <w:sz w:val="18"/>
              </w:rPr>
              <w:t>Token</w:t>
            </w:r>
          </w:p>
        </w:tc>
        <w:tc>
          <w:tcPr>
            <w:tcW w:type="dxa" w:w="1080"/>
            <w:shd w:val="clear" w:fill="F2F2F2"/>
          </w:tcPr>
          <w:p>
            <w:r>
              <w:rPr>
                <w:sz w:val="18"/>
              </w:rPr>
              <w:t>Category</w:t>
            </w:r>
          </w:p>
        </w:tc>
        <w:tc>
          <w:tcPr>
            <w:tcW w:type="dxa" w:w="960"/>
            <w:shd w:val="clear" w:fill="F2F2F2"/>
          </w:tcPr>
          <w:p>
            <w:r>
              <w:rPr>
                <w:sz w:val="18"/>
              </w:rPr>
              <w:t>HHI</w:t>
            </w:r>
          </w:p>
        </w:tc>
        <w:tc>
          <w:tcPr>
            <w:tcW w:type="dxa" w:w="960"/>
            <w:shd w:val="clear" w:fill="F2F2F2"/>
          </w:tcPr>
          <w:p>
            <w:r>
              <w:rPr>
                <w:sz w:val="18"/>
              </w:rPr>
              <w:t>Gini</w:t>
            </w:r>
          </w:p>
        </w:tc>
        <w:tc>
          <w:tcPr>
            <w:tcW w:type="dxa" w:w="960"/>
            <w:shd w:val="clear" w:fill="F2F2F2"/>
          </w:tcPr>
          <w:p>
            <w:r>
              <w:rPr>
                <w:sz w:val="18"/>
              </w:rPr>
              <w:t>Top-1%</w:t>
            </w:r>
          </w:p>
        </w:tc>
        <w:tc>
          <w:tcPr>
            <w:tcW w:type="dxa" w:w="1080"/>
            <w:noWrap/>
            <w:shd w:val="clear" w:fill="F2F2F2"/>
          </w:tcPr>
          <w:p>
            <w:r>
              <w:rPr>
                <w:sz w:val="18"/>
              </w:rPr>
              <w:t>Top-10%</w:t>
            </w:r>
          </w:p>
        </w:tc>
        <w:tc>
          <w:tcPr>
            <w:tcW w:type="dxa" w:w="1500"/>
            <w:shd w:val="clear" w:fill="F2F2F2"/>
          </w:tcPr>
          <w:p>
            <w:r>
              <w:rPr>
                <w:sz w:val="18"/>
              </w:rPr>
              <w:t>N</w:t>
            </w:r>
          </w:p>
        </w:tc>
        <w:trPr>
          <w:tblHeader/>
        </w:trPr>
      </w:tr>
      <w:tr>
        <w:tc>
          <w:tcPr>
            <w:tcW w:type="dxa" w:w="1620"/>
          </w:tcPr>
          <w:p>
            <w:r>
              <w:rPr>
                <w:sz w:val="18"/>
              </w:rPr>
              <w:t>Morpheus AI</w:t>
            </w:r>
          </w:p>
        </w:tc>
        <w:tc>
          <w:tcPr>
            <w:tcW w:type="dxa" w:w="1200"/>
          </w:tcPr>
          <w:p>
            <w:r>
              <w:rPr>
                <w:sz w:val="18"/>
              </w:rPr>
              <w:t>MOR</w:t>
            </w:r>
          </w:p>
        </w:tc>
        <w:tc>
          <w:tcPr>
            <w:tcW w:type="dxa" w:w="1080"/>
          </w:tcPr>
          <w:p>
            <w:r>
              <w:rPr>
                <w:sz w:val="18"/>
              </w:rPr>
              <w:t>DePIN</w:t>
            </w:r>
          </w:p>
        </w:tc>
        <w:tc>
          <w:tcPr>
            <w:tcW w:type="dxa" w:w="960"/>
          </w:tcPr>
          <w:p>
            <w:r>
              <w:rPr>
                <w:sz w:val="18"/>
              </w:rPr>
              <w:t>0.0310</w:t>
            </w:r>
          </w:p>
        </w:tc>
        <w:tc>
          <w:tcPr>
            <w:tcW w:type="dxa" w:w="960"/>
          </w:tcPr>
          <w:p>
            <w:r>
              <w:rPr>
                <w:sz w:val="18"/>
              </w:rPr>
              <w:t>0.88</w:t>
            </w:r>
          </w:p>
        </w:tc>
        <w:tc>
          <w:tcPr>
            <w:tcW w:type="dxa" w:w="960"/>
          </w:tcPr>
          <w:p>
            <w:r>
              <w:rPr>
                <w:sz w:val="18"/>
              </w:rPr>
              <w:t>11.4%</w:t>
            </w:r>
          </w:p>
        </w:tc>
        <w:tc>
          <w:tcPr>
            <w:tcW w:type="dxa" w:w="1080"/>
          </w:tcPr>
          <w:p>
            <w:r>
              <w:rPr>
                <w:sz w:val="18"/>
              </w:rPr>
              <w:t>43.3%</w:t>
            </w:r>
          </w:p>
        </w:tc>
        <w:tc>
          <w:tcPr>
            <w:tcW w:type="dxa" w:w="1500"/>
          </w:tcPr>
          <w:p>
            <w:r>
              <w:rPr>
                <w:sz w:val="18"/>
              </w:rPr>
              <w:t>994</w:t>
            </w:r>
          </w:p>
        </w:tc>
      </w:tr>
      <w:tr>
        <w:tc>
          <w:tcPr>
            <w:tcW w:type="dxa" w:w="1620"/>
          </w:tcPr>
          <w:p>
            <w:r>
              <w:rPr>
                <w:sz w:val="18"/>
              </w:rPr>
              <w:t>Render</w:t>
            </w:r>
          </w:p>
        </w:tc>
        <w:tc>
          <w:tcPr>
            <w:tcW w:type="dxa" w:w="1200"/>
          </w:tcPr>
          <w:p>
            <w:r>
              <w:rPr>
                <w:sz w:val="18"/>
              </w:rPr>
              <w:t>RENDER</w:t>
            </w:r>
          </w:p>
        </w:tc>
        <w:tc>
          <w:tcPr>
            <w:tcW w:type="dxa" w:w="1080"/>
          </w:tcPr>
          <w:p>
            <w:r>
              <w:rPr>
                <w:sz w:val="18"/>
              </w:rPr>
              <w:t>DePIN</w:t>
            </w:r>
          </w:p>
        </w:tc>
        <w:tc>
          <w:tcPr>
            <w:tcW w:type="dxa" w:w="960"/>
          </w:tcPr>
          <w:p>
            <w:r>
              <w:rPr>
                <w:sz w:val="18"/>
              </w:rPr>
              <w:t>0.0323</w:t>
            </w:r>
          </w:p>
        </w:tc>
        <w:tc>
          <w:tcPr>
            <w:tcW w:type="dxa" w:w="960"/>
          </w:tcPr>
          <w:p>
            <w:r>
              <w:rPr>
                <w:sz w:val="18"/>
              </w:rPr>
              <w:t>0.89</w:t>
            </w:r>
          </w:p>
        </w:tc>
        <w:tc>
          <w:tcPr>
            <w:tcW w:type="dxa" w:w="960"/>
          </w:tcPr>
          <w:p>
            <w:r>
              <w:rPr>
                <w:sz w:val="18"/>
              </w:rPr>
              <w:t>10.4%</w:t>
            </w:r>
          </w:p>
        </w:tc>
        <w:tc>
          <w:tcPr>
            <w:tcW w:type="dxa" w:w="1080"/>
          </w:tcPr>
          <w:p>
            <w:r>
              <w:rPr>
                <w:sz w:val="18"/>
              </w:rPr>
              <w:t>47.0%</w:t>
            </w:r>
          </w:p>
        </w:tc>
        <w:tc>
          <w:tcPr>
            <w:tcW w:type="dxa" w:w="1500"/>
          </w:tcPr>
          <w:p>
            <w:r>
              <w:rPr>
                <w:sz w:val="18"/>
              </w:rPr>
              <w:t>1000</w:t>
            </w:r>
          </w:p>
        </w:tc>
      </w:tr>
      <w:tr>
        <w:tc>
          <w:tcPr>
            <w:tcW w:type="dxa" w:w="1620"/>
          </w:tcPr>
          <w:p>
            <w:r>
              <w:rPr>
                <w:sz w:val="18"/>
              </w:rPr>
              <w:t>Grass</w:t>
            </w:r>
          </w:p>
        </w:tc>
        <w:tc>
          <w:tcPr>
            <w:tcW w:type="dxa" w:w="1200"/>
          </w:tcPr>
          <w:p>
            <w:r>
              <w:rPr>
                <w:sz w:val="18"/>
              </w:rPr>
              <w:t>GRASS</w:t>
            </w:r>
          </w:p>
        </w:tc>
        <w:tc>
          <w:tcPr>
            <w:tcW w:type="dxa" w:w="1080"/>
          </w:tcPr>
          <w:p>
            <w:r>
              <w:rPr>
                <w:sz w:val="18"/>
              </w:rPr>
              <w:t>DePIN</w:t>
            </w:r>
          </w:p>
        </w:tc>
        <w:tc>
          <w:tcPr>
            <w:tcW w:type="dxa" w:w="960"/>
          </w:tcPr>
          <w:p>
            <w:r>
              <w:rPr>
                <w:sz w:val="18"/>
              </w:rPr>
              <w:t>0.0352</w:t>
            </w:r>
          </w:p>
        </w:tc>
        <w:tc>
          <w:tcPr>
            <w:tcW w:type="dxa" w:w="960"/>
          </w:tcPr>
          <w:p>
            <w:r>
              <w:rPr>
                <w:sz w:val="18"/>
              </w:rPr>
              <w:t>0.76</w:t>
            </w:r>
          </w:p>
        </w:tc>
        <w:tc>
          <w:tcPr>
            <w:tcW w:type="dxa" w:w="960"/>
          </w:tcPr>
          <w:p>
            <w:r>
              <w:rPr>
                <w:sz w:val="18"/>
              </w:rPr>
              <w:t>16.0%</w:t>
            </w:r>
          </w:p>
        </w:tc>
        <w:tc>
          <w:tcPr>
            <w:tcW w:type="dxa" w:w="1080"/>
          </w:tcPr>
          <w:p>
            <w:r>
              <w:rPr>
                <w:sz w:val="18"/>
              </w:rPr>
              <w:t>38.2%</w:t>
            </w:r>
          </w:p>
        </w:tc>
        <w:tc>
          <w:tcPr>
            <w:tcW w:type="dxa" w:w="1500"/>
          </w:tcPr>
          <w:p>
            <w:r>
              <w:rPr>
                <w:sz w:val="18"/>
              </w:rPr>
              <w:t>1000</w:t>
            </w:r>
          </w:p>
        </w:tc>
      </w:tr>
      <w:tr>
        <w:tc>
          <w:tcPr>
            <w:tcW w:type="dxa" w:w="1620"/>
          </w:tcPr>
          <w:p>
            <w:r>
              <w:rPr>
                <w:sz w:val="18"/>
              </w:rPr>
              <w:t>DIMO</w:t>
            </w:r>
          </w:p>
        </w:tc>
        <w:tc>
          <w:tcPr>
            <w:tcW w:type="dxa" w:w="1200"/>
          </w:tcPr>
          <w:p>
            <w:r>
              <w:rPr>
                <w:sz w:val="18"/>
              </w:rPr>
              <w:t>DIMO</w:t>
            </w:r>
          </w:p>
        </w:tc>
        <w:tc>
          <w:tcPr>
            <w:tcW w:type="dxa" w:w="1080"/>
          </w:tcPr>
          <w:p>
            <w:r>
              <w:rPr>
                <w:sz w:val="18"/>
              </w:rPr>
              <w:t>DePIN</w:t>
            </w:r>
          </w:p>
        </w:tc>
        <w:tc>
          <w:tcPr>
            <w:tcW w:type="dxa" w:w="960"/>
          </w:tcPr>
          <w:p>
            <w:r>
              <w:rPr>
                <w:sz w:val="18"/>
              </w:rPr>
              <w:t>0.0379</w:t>
            </w:r>
          </w:p>
        </w:tc>
        <w:tc>
          <w:tcPr>
            <w:tcW w:type="dxa" w:w="960"/>
          </w:tcPr>
          <w:p>
            <w:r>
              <w:rPr>
                <w:sz w:val="18"/>
              </w:rPr>
              <w:t>0.87</w:t>
            </w:r>
          </w:p>
        </w:tc>
        <w:tc>
          <w:tcPr>
            <w:tcW w:type="dxa" w:w="960"/>
          </w:tcPr>
          <w:p>
            <w:r>
              <w:rPr>
                <w:sz w:val="18"/>
              </w:rPr>
              <w:t>13.9%</w:t>
            </w:r>
          </w:p>
        </w:tc>
        <w:tc>
          <w:tcPr>
            <w:tcW w:type="dxa" w:w="1080"/>
          </w:tcPr>
          <w:p>
            <w:r>
              <w:rPr>
                <w:sz w:val="18"/>
              </w:rPr>
              <w:t>45.0%</w:t>
            </w:r>
          </w:p>
        </w:tc>
        <w:tc>
          <w:tcPr>
            <w:tcW w:type="dxa" w:w="1500"/>
          </w:tcPr>
          <w:p>
            <w:r>
              <w:rPr>
                <w:sz w:val="18"/>
              </w:rPr>
              <w:t>999</w:t>
            </w:r>
          </w:p>
        </w:tc>
      </w:tr>
      <w:tr>
        <w:tc>
          <w:tcPr>
            <w:tcW w:type="dxa" w:w="1620"/>
          </w:tcPr>
          <w:p>
            <w:r>
              <w:rPr>
                <w:sz w:val="18"/>
              </w:rPr>
              <w:t>Anyone Protocol</w:t>
            </w:r>
          </w:p>
        </w:tc>
        <w:tc>
          <w:tcPr>
            <w:tcW w:type="dxa" w:w="1200"/>
          </w:tcPr>
          <w:p>
            <w:r>
              <w:rPr>
                <w:sz w:val="18"/>
              </w:rPr>
              <w:t>ANYONE</w:t>
            </w:r>
          </w:p>
        </w:tc>
        <w:tc>
          <w:tcPr>
            <w:tcW w:type="dxa" w:w="1080"/>
          </w:tcPr>
          <w:p>
            <w:r>
              <w:rPr>
                <w:sz w:val="18"/>
              </w:rPr>
              <w:t>DePIN</w:t>
            </w:r>
          </w:p>
        </w:tc>
        <w:tc>
          <w:tcPr>
            <w:tcW w:type="dxa" w:w="960"/>
          </w:tcPr>
          <w:p>
            <w:r>
              <w:rPr>
                <w:sz w:val="18"/>
              </w:rPr>
              <w:t>0.0404</w:t>
            </w:r>
          </w:p>
        </w:tc>
        <w:tc>
          <w:tcPr>
            <w:tcW w:type="dxa" w:w="960"/>
          </w:tcPr>
          <w:p>
            <w:r>
              <w:rPr>
                <w:sz w:val="18"/>
              </w:rPr>
              <w:t>0.79</w:t>
            </w:r>
          </w:p>
        </w:tc>
        <w:tc>
          <w:tcPr>
            <w:tcW w:type="dxa" w:w="960"/>
          </w:tcPr>
          <w:p>
            <w:r>
              <w:rPr>
                <w:sz w:val="18"/>
              </w:rPr>
              <w:t>13.3%</w:t>
            </w:r>
          </w:p>
        </w:tc>
        <w:tc>
          <w:tcPr>
            <w:tcW w:type="dxa" w:w="1080"/>
          </w:tcPr>
          <w:p>
            <w:r>
              <w:rPr>
                <w:sz w:val="18"/>
              </w:rPr>
              <w:t>47.5%</w:t>
            </w:r>
          </w:p>
        </w:tc>
        <w:tc>
          <w:tcPr>
            <w:tcW w:type="dxa" w:w="1500"/>
          </w:tcPr>
          <w:p>
            <w:r>
              <w:rPr>
                <w:sz w:val="18"/>
              </w:rPr>
              <w:t>1000</w:t>
            </w:r>
          </w:p>
        </w:tc>
      </w:tr>
      <w:tr>
        <w:tc>
          <w:tcPr>
            <w:tcW w:type="dxa" w:w="1620"/>
          </w:tcPr>
          <w:p>
            <w:r>
              <w:rPr>
                <w:sz w:val="18"/>
              </w:rPr>
              <w:t>Filecoin</w:t>
            </w:r>
          </w:p>
        </w:tc>
        <w:tc>
          <w:tcPr>
            <w:tcW w:type="dxa" w:w="1200"/>
          </w:tcPr>
          <w:p>
            <w:r>
              <w:rPr>
                <w:sz w:val="18"/>
              </w:rPr>
              <w:t>FIL</w:t>
            </w:r>
          </w:p>
        </w:tc>
        <w:tc>
          <w:tcPr>
            <w:tcW w:type="dxa" w:w="1080"/>
          </w:tcPr>
          <w:p>
            <w:r>
              <w:rPr>
                <w:sz w:val="18"/>
              </w:rPr>
              <w:t>DePIN</w:t>
            </w:r>
          </w:p>
        </w:tc>
        <w:tc>
          <w:tcPr>
            <w:tcW w:type="dxa" w:w="960"/>
          </w:tcPr>
          <w:p>
            <w:r>
              <w:rPr>
                <w:sz w:val="18"/>
              </w:rPr>
              <w:t>0.0473</w:t>
            </w:r>
          </w:p>
        </w:tc>
        <w:tc>
          <w:tcPr>
            <w:tcW w:type="dxa" w:w="960"/>
          </w:tcPr>
          <w:p>
            <w:r>
              <w:rPr>
                <w:sz w:val="18"/>
              </w:rPr>
              <w:t>0.79</w:t>
            </w:r>
          </w:p>
        </w:tc>
        <w:tc>
          <w:tcPr>
            <w:tcW w:type="dxa" w:w="960"/>
          </w:tcPr>
          <w:p>
            <w:r>
              <w:rPr>
                <w:sz w:val="18"/>
              </w:rPr>
              <w:t>18.0%</w:t>
            </w:r>
          </w:p>
        </w:tc>
        <w:tc>
          <w:tcPr>
            <w:tcW w:type="dxa" w:w="1080"/>
          </w:tcPr>
          <w:p>
            <w:r>
              <w:rPr>
                <w:sz w:val="18"/>
              </w:rPr>
              <w:t>45.6%</w:t>
            </w:r>
          </w:p>
        </w:tc>
        <w:tc>
          <w:tcPr>
            <w:tcW w:type="dxa" w:w="1500"/>
          </w:tcPr>
          <w:p>
            <w:r>
              <w:rPr>
                <w:sz w:val="18"/>
              </w:rPr>
              <w:t>1000</w:t>
            </w:r>
          </w:p>
        </w:tc>
      </w:tr>
      <w:tr>
        <w:tc>
          <w:tcPr>
            <w:tcW w:type="dxa" w:w="1620"/>
          </w:tcPr>
          <w:p>
            <w:r>
              <w:rPr>
                <w:sz w:val="18"/>
              </w:rPr>
              <w:t>Helium</w:t>
            </w:r>
          </w:p>
        </w:tc>
        <w:tc>
          <w:tcPr>
            <w:tcW w:type="dxa" w:w="1200"/>
          </w:tcPr>
          <w:p>
            <w:r>
              <w:rPr>
                <w:sz w:val="18"/>
              </w:rPr>
              <w:t>HNT</w:t>
            </w:r>
          </w:p>
        </w:tc>
        <w:tc>
          <w:tcPr>
            <w:tcW w:type="dxa" w:w="1080"/>
          </w:tcPr>
          <w:p>
            <w:r>
              <w:rPr>
                <w:sz w:val="18"/>
              </w:rPr>
              <w:t>DePIN</w:t>
            </w:r>
          </w:p>
        </w:tc>
        <w:tc>
          <w:tcPr>
            <w:tcW w:type="dxa" w:w="960"/>
          </w:tcPr>
          <w:p>
            <w:r>
              <w:rPr>
                <w:sz w:val="18"/>
              </w:rPr>
              <w:t>0.1024</w:t>
            </w:r>
          </w:p>
        </w:tc>
        <w:tc>
          <w:tcPr>
            <w:tcW w:type="dxa" w:w="960"/>
          </w:tcPr>
          <w:p>
            <w:r>
              <w:rPr>
                <w:sz w:val="18"/>
              </w:rPr>
              <w:t>0.98</w:t>
            </w:r>
          </w:p>
        </w:tc>
        <w:tc>
          <w:tcPr>
            <w:tcW w:type="dxa" w:w="960"/>
          </w:tcPr>
          <w:p>
            <w:r>
              <w:rPr>
                <w:sz w:val="18"/>
              </w:rPr>
              <w:t>24.5%</w:t>
            </w:r>
          </w:p>
        </w:tc>
        <w:tc>
          <w:tcPr>
            <w:tcW w:type="dxa" w:w="1080"/>
          </w:tcPr>
          <w:p>
            <w:r>
              <w:rPr>
                <w:sz w:val="18"/>
              </w:rPr>
              <w:t>79.4%</w:t>
            </w:r>
          </w:p>
        </w:tc>
        <w:tc>
          <w:tcPr>
            <w:tcW w:type="dxa" w:w="1500"/>
          </w:tcPr>
          <w:p>
            <w:r>
              <w:rPr>
                <w:sz w:val="18"/>
              </w:rPr>
              <w:t>1000</w:t>
            </w:r>
          </w:p>
        </w:tc>
      </w:tr>
      <w:tr>
        <w:tc>
          <w:tcPr>
            <w:tcW w:type="dxa" w:w="1620"/>
          </w:tcPr>
          <w:p>
            <w:r>
              <w:rPr>
                <w:sz w:val="18"/>
              </w:rPr>
              <w:t>IoTeX</w:t>
            </w:r>
          </w:p>
        </w:tc>
        <w:tc>
          <w:tcPr>
            <w:tcW w:type="dxa" w:w="1200"/>
          </w:tcPr>
          <w:p>
            <w:r>
              <w:rPr>
                <w:sz w:val="18"/>
              </w:rPr>
              <w:t>IOTX</w:t>
            </w:r>
          </w:p>
        </w:tc>
        <w:tc>
          <w:tcPr>
            <w:tcW w:type="dxa" w:w="1080"/>
          </w:tcPr>
          <w:p>
            <w:r>
              <w:rPr>
                <w:sz w:val="18"/>
              </w:rPr>
              <w:t>DePIN</w:t>
            </w:r>
          </w:p>
        </w:tc>
        <w:tc>
          <w:tcPr>
            <w:tcW w:type="dxa" w:w="960"/>
          </w:tcPr>
          <w:p>
            <w:r>
              <w:rPr>
                <w:sz w:val="18"/>
              </w:rPr>
              <w:t>0.1065</w:t>
            </w:r>
          </w:p>
        </w:tc>
        <w:tc>
          <w:tcPr>
            <w:tcW w:type="dxa" w:w="960"/>
          </w:tcPr>
          <w:p>
            <w:r>
              <w:rPr>
                <w:sz w:val="18"/>
              </w:rPr>
              <w:t>0.99</w:t>
            </w:r>
          </w:p>
        </w:tc>
        <w:tc>
          <w:tcPr>
            <w:tcW w:type="dxa" w:w="960"/>
          </w:tcPr>
          <w:p>
            <w:r>
              <w:rPr>
                <w:sz w:val="18"/>
              </w:rPr>
              <w:t>19.8%</w:t>
            </w:r>
          </w:p>
        </w:tc>
        <w:tc>
          <w:tcPr>
            <w:tcW w:type="dxa" w:w="1080"/>
          </w:tcPr>
          <w:p>
            <w:r>
              <w:rPr>
                <w:sz w:val="18"/>
              </w:rPr>
              <w:t>90.6%</w:t>
            </w:r>
          </w:p>
        </w:tc>
        <w:tc>
          <w:tcPr>
            <w:tcW w:type="dxa" w:w="1500"/>
          </w:tcPr>
          <w:p>
            <w:r>
              <w:rPr>
                <w:sz w:val="18"/>
              </w:rPr>
              <w:t>1000</w:t>
            </w:r>
          </w:p>
        </w:tc>
      </w:tr>
      <w:tr>
        <w:tc>
          <w:tcPr>
            <w:tcW w:type="dxa" w:w="1620"/>
          </w:tcPr>
          <w:p>
            <w:r>
              <w:rPr>
                <w:sz w:val="18"/>
              </w:rPr>
              <w:t>GEODNET</w:t>
            </w:r>
          </w:p>
        </w:tc>
        <w:tc>
          <w:tcPr>
            <w:tcW w:type="dxa" w:w="1200"/>
          </w:tcPr>
          <w:p>
            <w:r>
              <w:rPr>
                <w:sz w:val="18"/>
              </w:rPr>
              <w:t>GEOD</w:t>
            </w:r>
          </w:p>
        </w:tc>
        <w:tc>
          <w:tcPr>
            <w:tcW w:type="dxa" w:w="1080"/>
          </w:tcPr>
          <w:p>
            <w:r>
              <w:rPr>
                <w:sz w:val="18"/>
              </w:rPr>
              <w:t>DePIN</w:t>
            </w:r>
          </w:p>
        </w:tc>
        <w:tc>
          <w:tcPr>
            <w:tcW w:type="dxa" w:w="960"/>
          </w:tcPr>
          <w:p>
            <w:r>
              <w:rPr>
                <w:sz w:val="18"/>
              </w:rPr>
              <w:t>0.1325</w:t>
            </w:r>
          </w:p>
        </w:tc>
        <w:tc>
          <w:tcPr>
            <w:tcW w:type="dxa" w:w="960"/>
          </w:tcPr>
          <w:p>
            <w:r>
              <w:rPr>
                <w:sz w:val="18"/>
              </w:rPr>
              <w:t>0.96</w:t>
            </w:r>
          </w:p>
        </w:tc>
        <w:tc>
          <w:tcPr>
            <w:tcW w:type="dxa" w:w="960"/>
          </w:tcPr>
          <w:p>
            <w:r>
              <w:rPr>
                <w:sz w:val="18"/>
              </w:rPr>
              <w:t>24.9%</w:t>
            </w:r>
          </w:p>
        </w:tc>
        <w:tc>
          <w:tcPr>
            <w:tcW w:type="dxa" w:w="1080"/>
          </w:tcPr>
          <w:p>
            <w:r>
              <w:rPr>
                <w:sz w:val="18"/>
              </w:rPr>
              <w:t>81.8%</w:t>
            </w:r>
          </w:p>
        </w:tc>
        <w:tc>
          <w:tcPr>
            <w:tcW w:type="dxa" w:w="1500"/>
          </w:tcPr>
          <w:p>
            <w:r>
              <w:rPr>
                <w:sz w:val="18"/>
              </w:rPr>
              <w:t>1000</w:t>
            </w:r>
          </w:p>
        </w:tc>
      </w:tr>
      <w:tr>
        <w:tc>
          <w:tcPr>
            <w:tcW w:type="dxa" w:w="1620"/>
          </w:tcPr>
          <w:p>
            <w:r>
              <w:rPr>
                <w:sz w:val="18"/>
              </w:rPr>
              <w:t>WeatherXM</w:t>
            </w:r>
          </w:p>
        </w:tc>
        <w:tc>
          <w:tcPr>
            <w:tcW w:type="dxa" w:w="1200"/>
          </w:tcPr>
          <w:p>
            <w:r>
              <w:rPr>
                <w:sz w:val="18"/>
              </w:rPr>
              <w:t>WXM</w:t>
            </w:r>
          </w:p>
        </w:tc>
        <w:tc>
          <w:tcPr>
            <w:tcW w:type="dxa" w:w="1080"/>
          </w:tcPr>
          <w:p>
            <w:r>
              <w:rPr>
                <w:sz w:val="18"/>
              </w:rPr>
              <w:t>DePIN</w:t>
            </w:r>
          </w:p>
        </w:tc>
        <w:tc>
          <w:tcPr>
            <w:tcW w:type="dxa" w:w="960"/>
          </w:tcPr>
          <w:p>
            <w:r>
              <w:rPr>
                <w:sz w:val="18"/>
              </w:rPr>
              <w:t>0.1479</w:t>
            </w:r>
          </w:p>
        </w:tc>
        <w:tc>
          <w:tcPr>
            <w:tcW w:type="dxa" w:w="960"/>
          </w:tcPr>
          <w:p>
            <w:r>
              <w:rPr>
                <w:sz w:val="18"/>
              </w:rPr>
              <w:t>0.89</w:t>
            </w:r>
          </w:p>
        </w:tc>
        <w:tc>
          <w:tcPr>
            <w:tcW w:type="dxa" w:w="960"/>
          </w:tcPr>
          <w:p>
            <w:r>
              <w:rPr>
                <w:sz w:val="18"/>
              </w:rPr>
              <w:t>35.0%</w:t>
            </w:r>
          </w:p>
        </w:tc>
        <w:tc>
          <w:tcPr>
            <w:tcW w:type="dxa" w:w="1080"/>
          </w:tcPr>
          <w:p>
            <w:r>
              <w:rPr>
                <w:sz w:val="18"/>
              </w:rPr>
              <w:t>77.9%</w:t>
            </w:r>
          </w:p>
        </w:tc>
        <w:tc>
          <w:tcPr>
            <w:tcW w:type="dxa" w:w="1500"/>
          </w:tcPr>
          <w:p>
            <w:r>
              <w:rPr>
                <w:sz w:val="18"/>
              </w:rPr>
              <w:t>999</w:t>
            </w:r>
          </w:p>
        </w:tc>
      </w:tr>
      <w:tr>
        <w:tc>
          <w:tcPr>
            <w:tcW w:type="dxa" w:w="1620"/>
          </w:tcPr>
          <w:p>
            <w:r>
              <w:rPr>
                <w:sz w:val="18"/>
              </w:rPr>
              <w:t>Pokt Network</w:t>
            </w:r>
          </w:p>
        </w:tc>
        <w:tc>
          <w:tcPr>
            <w:tcW w:type="dxa" w:w="1200"/>
          </w:tcPr>
          <w:p>
            <w:r>
              <w:rPr>
                <w:sz w:val="18"/>
              </w:rPr>
              <w:t>POKT</w:t>
            </w:r>
          </w:p>
        </w:tc>
        <w:tc>
          <w:tcPr>
            <w:tcW w:type="dxa" w:w="1080"/>
          </w:tcPr>
          <w:p>
            <w:r>
              <w:rPr>
                <w:sz w:val="18"/>
              </w:rPr>
              <w:t>DePIN</w:t>
            </w:r>
          </w:p>
        </w:tc>
        <w:tc>
          <w:tcPr>
            <w:tcW w:type="dxa" w:w="960"/>
          </w:tcPr>
          <w:p>
            <w:r>
              <w:rPr>
                <w:sz w:val="18"/>
              </w:rPr>
              <w:t>0.1592</w:t>
            </w:r>
          </w:p>
        </w:tc>
        <w:tc>
          <w:tcPr>
            <w:tcW w:type="dxa" w:w="960"/>
          </w:tcPr>
          <w:p>
            <w:r>
              <w:rPr>
                <w:sz w:val="18"/>
              </w:rPr>
              <w:t>0.96</w:t>
            </w:r>
          </w:p>
        </w:tc>
        <w:tc>
          <w:tcPr>
            <w:tcW w:type="dxa" w:w="960"/>
          </w:tcPr>
          <w:p>
            <w:r>
              <w:rPr>
                <w:sz w:val="18"/>
              </w:rPr>
              <w:t>34.8%</w:t>
            </w:r>
          </w:p>
        </w:tc>
        <w:tc>
          <w:tcPr>
            <w:tcW w:type="dxa" w:w="1080"/>
          </w:tcPr>
          <w:p>
            <w:r>
              <w:rPr>
                <w:sz w:val="18"/>
              </w:rPr>
              <w:t>77.2%</w:t>
            </w:r>
          </w:p>
        </w:tc>
        <w:tc>
          <w:tcPr>
            <w:tcW w:type="dxa" w:w="1500"/>
          </w:tcPr>
          <w:p>
            <w:r>
              <w:rPr>
                <w:sz w:val="18"/>
              </w:rPr>
              <w:t>1000</w:t>
            </w:r>
          </w:p>
        </w:tc>
      </w:tr>
      <w:tr>
        <w:tc>
          <w:tcPr>
            <w:tcW w:type="dxa" w:w="1620"/>
          </w:tcPr>
          <w:p>
            <w:r>
              <w:rPr>
                <w:sz w:val="18"/>
              </w:rPr>
              <w:t>Livepeer</w:t>
            </w:r>
          </w:p>
        </w:tc>
        <w:tc>
          <w:tcPr>
            <w:tcW w:type="dxa" w:w="1200"/>
          </w:tcPr>
          <w:p>
            <w:r>
              <w:rPr>
                <w:sz w:val="18"/>
              </w:rPr>
              <w:t>LPT</w:t>
            </w:r>
          </w:p>
        </w:tc>
        <w:tc>
          <w:tcPr>
            <w:tcW w:type="dxa" w:w="1080"/>
          </w:tcPr>
          <w:p>
            <w:r>
              <w:rPr>
                <w:sz w:val="18"/>
              </w:rPr>
              <w:t>DePIN</w:t>
            </w:r>
          </w:p>
        </w:tc>
        <w:tc>
          <w:tcPr>
            <w:tcW w:type="dxa" w:w="960"/>
          </w:tcPr>
          <w:p>
            <w:r>
              <w:rPr>
                <w:sz w:val="18"/>
              </w:rPr>
              <w:t>0.1989</w:t>
            </w:r>
          </w:p>
        </w:tc>
        <w:tc>
          <w:tcPr>
            <w:tcW w:type="dxa" w:w="960"/>
          </w:tcPr>
          <w:p>
            <w:r>
              <w:rPr>
                <w:sz w:val="18"/>
              </w:rPr>
              <w:t>0.94</w:t>
            </w:r>
          </w:p>
        </w:tc>
        <w:tc>
          <w:tcPr>
            <w:tcW w:type="dxa" w:w="960"/>
          </w:tcPr>
          <w:p>
            <w:r>
              <w:rPr>
                <w:sz w:val="18"/>
              </w:rPr>
              <w:t>42.9%</w:t>
            </w:r>
          </w:p>
        </w:tc>
        <w:tc>
          <w:tcPr>
            <w:tcW w:type="dxa" w:w="1080"/>
          </w:tcPr>
          <w:p>
            <w:r>
              <w:rPr>
                <w:sz w:val="18"/>
              </w:rPr>
              <w:t>73.7%</w:t>
            </w:r>
          </w:p>
        </w:tc>
        <w:tc>
          <w:tcPr>
            <w:tcW w:type="dxa" w:w="1500"/>
          </w:tcPr>
          <w:p>
            <w:r>
              <w:rPr>
                <w:sz w:val="18"/>
              </w:rPr>
              <w:t>998</w:t>
            </w:r>
          </w:p>
        </w:tc>
      </w:tr>
      <w:tr>
        <w:tc>
          <w:tcPr>
            <w:tcW w:type="dxa" w:w="1620"/>
          </w:tcPr>
          <w:p>
            <w:r>
              <w:rPr>
                <w:sz w:val="18"/>
              </w:rPr>
              <w:t>Hyperliquid</w:t>
            </w:r>
          </w:p>
        </w:tc>
        <w:tc>
          <w:tcPr>
            <w:tcW w:type="dxa" w:w="1200"/>
          </w:tcPr>
          <w:p>
            <w:r>
              <w:rPr>
                <w:sz w:val="18"/>
              </w:rPr>
              <w:t>HYPE</w:t>
            </w:r>
          </w:p>
        </w:tc>
        <w:tc>
          <w:tcPr>
            <w:tcW w:type="dxa" w:w="1080"/>
          </w:tcPr>
          <w:p>
            <w:r>
              <w:rPr>
                <w:sz w:val="18"/>
              </w:rPr>
              <w:t>DeFi</w:t>
            </w:r>
          </w:p>
        </w:tc>
        <w:tc>
          <w:tcPr>
            <w:tcW w:type="dxa" w:w="960"/>
          </w:tcPr>
          <w:p>
            <w:r>
              <w:rPr>
                <w:sz w:val="18"/>
              </w:rPr>
              <w:t>0.0045</w:t>
            </w:r>
          </w:p>
        </w:tc>
        <w:tc>
          <w:tcPr>
            <w:tcW w:type="dxa" w:w="960"/>
          </w:tcPr>
          <w:p>
            <w:r>
              <w:rPr>
                <w:sz w:val="18"/>
              </w:rPr>
              <w:t>0.73</w:t>
            </w:r>
          </w:p>
        </w:tc>
        <w:tc>
          <w:tcPr>
            <w:tcW w:type="dxa" w:w="960"/>
          </w:tcPr>
          <w:p>
            <w:r>
              <w:rPr>
                <w:sz w:val="18"/>
              </w:rPr>
              <w:t>2.2%</w:t>
            </w:r>
          </w:p>
        </w:tc>
        <w:tc>
          <w:tcPr>
            <w:tcW w:type="dxa" w:w="1080"/>
          </w:tcPr>
          <w:p>
            <w:r>
              <w:rPr>
                <w:sz w:val="18"/>
              </w:rPr>
              <w:t>14.5%</w:t>
            </w:r>
          </w:p>
        </w:tc>
        <w:tc>
          <w:tcPr>
            <w:tcW w:type="dxa" w:w="1500"/>
          </w:tcPr>
          <w:p>
            <w:r>
              <w:rPr>
                <w:sz w:val="18"/>
              </w:rPr>
              <w:t>1886</w:t>
            </w:r>
          </w:p>
        </w:tc>
      </w:tr>
      <w:tr>
        <w:tc>
          <w:tcPr>
            <w:tcW w:type="dxa" w:w="1620"/>
          </w:tcPr>
          <w:p>
            <w:r>
              <w:rPr>
                <w:sz w:val="18"/>
              </w:rPr>
              <w:t>Lido</w:t>
            </w:r>
          </w:p>
        </w:tc>
        <w:tc>
          <w:tcPr>
            <w:tcW w:type="dxa" w:w="1200"/>
          </w:tcPr>
          <w:p>
            <w:r>
              <w:rPr>
                <w:sz w:val="18"/>
              </w:rPr>
              <w:t>LDO</w:t>
            </w:r>
          </w:p>
        </w:tc>
        <w:tc>
          <w:tcPr>
            <w:tcW w:type="dxa" w:w="1080"/>
          </w:tcPr>
          <w:p>
            <w:r>
              <w:rPr>
                <w:sz w:val="18"/>
              </w:rPr>
              <w:t>DeFi</w:t>
            </w:r>
          </w:p>
        </w:tc>
        <w:tc>
          <w:tcPr>
            <w:tcW w:type="dxa" w:w="960"/>
          </w:tcPr>
          <w:p>
            <w:r>
              <w:rPr>
                <w:sz w:val="18"/>
              </w:rPr>
              <w:t>0.013</w:t>
            </w:r>
          </w:p>
        </w:tc>
        <w:tc>
          <w:tcPr>
            <w:tcW w:type="dxa" w:w="960"/>
          </w:tcPr>
          <w:p>
            <w:r>
              <w:rPr>
                <w:sz w:val="18"/>
              </w:rPr>
              <w:t>0.52</w:t>
            </w:r>
          </w:p>
        </w:tc>
        <w:tc>
          <w:tcPr>
            <w:tcW w:type="dxa" w:w="960"/>
          </w:tcPr>
          <w:p>
            <w:r>
              <w:rPr>
                <w:sz w:val="18"/>
              </w:rPr>
              <w:t>7.9%</w:t>
            </w:r>
          </w:p>
        </w:tc>
        <w:tc>
          <w:tcPr>
            <w:tcW w:type="dxa" w:w="1080"/>
          </w:tcPr>
          <w:p>
            <w:r>
              <w:rPr>
                <w:sz w:val="18"/>
              </w:rPr>
              <w:t>27.7%</w:t>
            </w:r>
          </w:p>
        </w:tc>
        <w:tc>
          <w:tcPr>
            <w:tcW w:type="dxa" w:w="1500"/>
          </w:tcPr>
          <w:p>
            <w:r>
              <w:rPr>
                <w:sz w:val="18"/>
              </w:rPr>
              <w:t>189</w:t>
            </w:r>
          </w:p>
        </w:tc>
      </w:tr>
      <w:tr>
        <w:tc>
          <w:tcPr>
            <w:tcW w:type="dxa" w:w="1620"/>
          </w:tcPr>
          <w:p>
            <w:r>
              <w:rPr>
                <w:sz w:val="18"/>
              </w:rPr>
              <w:t>Maple Finance</w:t>
            </w:r>
          </w:p>
        </w:tc>
        <w:tc>
          <w:tcPr>
            <w:tcW w:type="dxa" w:w="1200"/>
          </w:tcPr>
          <w:p>
            <w:r>
              <w:rPr>
                <w:sz w:val="18"/>
              </w:rPr>
              <w:t>MPL_SYRUP</w:t>
            </w:r>
          </w:p>
        </w:tc>
        <w:tc>
          <w:tcPr>
            <w:tcW w:type="dxa" w:w="1080"/>
          </w:tcPr>
          <w:p>
            <w:r>
              <w:rPr>
                <w:sz w:val="18"/>
              </w:rPr>
              <w:t>DeFi</w:t>
            </w:r>
          </w:p>
        </w:tc>
        <w:tc>
          <w:tcPr>
            <w:tcW w:type="dxa" w:w="960"/>
          </w:tcPr>
          <w:p>
            <w:r>
              <w:rPr>
                <w:sz w:val="18"/>
              </w:rPr>
              <w:t>0.0242</w:t>
            </w:r>
          </w:p>
        </w:tc>
        <w:tc>
          <w:tcPr>
            <w:tcW w:type="dxa" w:w="960"/>
          </w:tcPr>
          <w:p>
            <w:r>
              <w:rPr>
                <w:sz w:val="18"/>
              </w:rPr>
              <w:t>0.88</w:t>
            </w:r>
          </w:p>
        </w:tc>
        <w:tc>
          <w:tcPr>
            <w:tcW w:type="dxa" w:w="960"/>
          </w:tcPr>
          <w:p>
            <w:r>
              <w:rPr>
                <w:sz w:val="18"/>
              </w:rPr>
              <w:t>8.5%</w:t>
            </w:r>
          </w:p>
        </w:tc>
        <w:tc>
          <w:tcPr>
            <w:tcW w:type="dxa" w:w="1080"/>
          </w:tcPr>
          <w:p>
            <w:r>
              <w:rPr>
                <w:sz w:val="18"/>
              </w:rPr>
              <w:t>40.6%</w:t>
            </w:r>
          </w:p>
        </w:tc>
        <w:tc>
          <w:tcPr>
            <w:tcW w:type="dxa" w:w="1500"/>
          </w:tcPr>
          <w:p>
            <w:r>
              <w:rPr>
                <w:sz w:val="18"/>
              </w:rPr>
              <w:t>998</w:t>
            </w:r>
          </w:p>
        </w:tc>
      </w:tr>
      <w:tr>
        <w:tc>
          <w:tcPr>
            <w:tcW w:type="dxa" w:w="1620"/>
          </w:tcPr>
          <w:p>
            <w:r>
              <w:rPr>
                <w:sz w:val="18"/>
              </w:rPr>
              <w:t>Compound</w:t>
            </w:r>
          </w:p>
        </w:tc>
        <w:tc>
          <w:tcPr>
            <w:tcW w:type="dxa" w:w="1200"/>
          </w:tcPr>
          <w:p>
            <w:r>
              <w:rPr>
                <w:sz w:val="18"/>
              </w:rPr>
              <w:t>COMP</w:t>
            </w:r>
          </w:p>
        </w:tc>
        <w:tc>
          <w:tcPr>
            <w:tcW w:type="dxa" w:w="1080"/>
          </w:tcPr>
          <w:p>
            <w:r>
              <w:rPr>
                <w:sz w:val="18"/>
              </w:rPr>
              <w:t>DeFi</w:t>
            </w:r>
          </w:p>
        </w:tc>
        <w:tc>
          <w:tcPr>
            <w:tcW w:type="dxa" w:w="960"/>
          </w:tcPr>
          <w:p>
            <w:r>
              <w:rPr>
                <w:sz w:val="18"/>
              </w:rPr>
              <w:t>0.0275</w:t>
            </w:r>
          </w:p>
        </w:tc>
        <w:tc>
          <w:tcPr>
            <w:tcW w:type="dxa" w:w="960"/>
          </w:tcPr>
          <w:p>
            <w:r>
              <w:rPr>
                <w:sz w:val="18"/>
              </w:rPr>
              <w:t>0.86</w:t>
            </w:r>
          </w:p>
        </w:tc>
        <w:tc>
          <w:tcPr>
            <w:tcW w:type="dxa" w:w="960"/>
          </w:tcPr>
          <w:p>
            <w:r>
              <w:rPr>
                <w:sz w:val="18"/>
              </w:rPr>
              <w:t>14.1%</w:t>
            </w:r>
          </w:p>
        </w:tc>
        <w:tc>
          <w:tcPr>
            <w:tcW w:type="dxa" w:w="1080"/>
          </w:tcPr>
          <w:p>
            <w:r>
              <w:rPr>
                <w:sz w:val="18"/>
              </w:rPr>
              <w:t>32.4%</w:t>
            </w:r>
          </w:p>
        </w:tc>
        <w:tc>
          <w:tcPr>
            <w:tcW w:type="dxa" w:w="1500"/>
          </w:tcPr>
          <w:p>
            <w:r>
              <w:rPr>
                <w:sz w:val="18"/>
              </w:rPr>
              <w:t>1000</w:t>
            </w:r>
          </w:p>
        </w:tc>
      </w:tr>
      <w:tr>
        <w:tc>
          <w:tcPr>
            <w:tcW w:type="dxa" w:w="1620"/>
          </w:tcPr>
          <w:p>
            <w:r>
              <w:rPr>
                <w:sz w:val="18"/>
              </w:rPr>
              <w:t>Balancer</w:t>
            </w:r>
          </w:p>
        </w:tc>
        <w:tc>
          <w:tcPr>
            <w:tcW w:type="dxa" w:w="1200"/>
          </w:tcPr>
          <w:p>
            <w:r>
              <w:rPr>
                <w:sz w:val="18"/>
              </w:rPr>
              <w:t>BAL</w:t>
            </w:r>
          </w:p>
        </w:tc>
        <w:tc>
          <w:tcPr>
            <w:tcW w:type="dxa" w:w="1080"/>
          </w:tcPr>
          <w:p>
            <w:r>
              <w:rPr>
                <w:sz w:val="18"/>
              </w:rPr>
              <w:t>DeFi</w:t>
            </w:r>
          </w:p>
        </w:tc>
        <w:tc>
          <w:tcPr>
            <w:tcW w:type="dxa" w:w="960"/>
          </w:tcPr>
          <w:p>
            <w:r>
              <w:rPr>
                <w:sz w:val="18"/>
              </w:rPr>
              <w:t>0.0295</w:t>
            </w:r>
          </w:p>
        </w:tc>
        <w:tc>
          <w:tcPr>
            <w:tcW w:type="dxa" w:w="960"/>
          </w:tcPr>
          <w:p>
            <w:r>
              <w:rPr>
                <w:sz w:val="18"/>
              </w:rPr>
              <w:t>0.88</w:t>
            </w:r>
          </w:p>
        </w:tc>
        <w:tc>
          <w:tcPr>
            <w:tcW w:type="dxa" w:w="960"/>
          </w:tcPr>
          <w:p>
            <w:r>
              <w:rPr>
                <w:sz w:val="18"/>
              </w:rPr>
              <w:t>12.4%</w:t>
            </w:r>
          </w:p>
        </w:tc>
        <w:tc>
          <w:tcPr>
            <w:tcW w:type="dxa" w:w="1080"/>
          </w:tcPr>
          <w:p>
            <w:r>
              <w:rPr>
                <w:sz w:val="18"/>
              </w:rPr>
              <w:t>38.0%</w:t>
            </w:r>
          </w:p>
        </w:tc>
        <w:tc>
          <w:tcPr>
            <w:tcW w:type="dxa" w:w="1500"/>
          </w:tcPr>
          <w:p>
            <w:r>
              <w:rPr>
                <w:sz w:val="18"/>
              </w:rPr>
              <w:t>990</w:t>
            </w:r>
          </w:p>
        </w:tc>
      </w:tr>
      <w:tr>
        <w:tc>
          <w:tcPr>
            <w:tcW w:type="dxa" w:w="1620"/>
          </w:tcPr>
          <w:p>
            <w:r>
              <w:rPr>
                <w:sz w:val="18"/>
              </w:rPr>
              <w:t>Rocket Pool</w:t>
            </w:r>
          </w:p>
        </w:tc>
        <w:tc>
          <w:tcPr>
            <w:tcW w:type="dxa" w:w="1200"/>
          </w:tcPr>
          <w:p>
            <w:r>
              <w:rPr>
                <w:sz w:val="18"/>
              </w:rPr>
              <w:t>RPL</w:t>
            </w:r>
          </w:p>
        </w:tc>
        <w:tc>
          <w:tcPr>
            <w:tcW w:type="dxa" w:w="1080"/>
          </w:tcPr>
          <w:p>
            <w:r>
              <w:rPr>
                <w:sz w:val="18"/>
              </w:rPr>
              <w:t>DeFi</w:t>
            </w:r>
          </w:p>
        </w:tc>
        <w:tc>
          <w:tcPr>
            <w:tcW w:type="dxa" w:w="960"/>
          </w:tcPr>
          <w:p>
            <w:r>
              <w:rPr>
                <w:sz w:val="18"/>
              </w:rPr>
              <w:t>0.0391</w:t>
            </w:r>
          </w:p>
        </w:tc>
        <w:tc>
          <w:tcPr>
            <w:tcW w:type="dxa" w:w="960"/>
          </w:tcPr>
          <w:p>
            <w:r>
              <w:rPr>
                <w:sz w:val="18"/>
              </w:rPr>
              <w:t>0.87</w:t>
            </w:r>
          </w:p>
        </w:tc>
        <w:tc>
          <w:tcPr>
            <w:tcW w:type="dxa" w:w="960"/>
          </w:tcPr>
          <w:p>
            <w:r>
              <w:rPr>
                <w:sz w:val="18"/>
              </w:rPr>
              <w:t>11.5%</w:t>
            </w:r>
          </w:p>
        </w:tc>
        <w:tc>
          <w:tcPr>
            <w:tcW w:type="dxa" w:w="1080"/>
          </w:tcPr>
          <w:p>
            <w:r>
              <w:rPr>
                <w:sz w:val="18"/>
              </w:rPr>
              <w:t>52.7%</w:t>
            </w:r>
          </w:p>
        </w:tc>
        <w:tc>
          <w:tcPr>
            <w:tcW w:type="dxa" w:w="1500"/>
          </w:tcPr>
          <w:p>
            <w:r>
              <w:rPr>
                <w:sz w:val="18"/>
              </w:rPr>
              <w:t>999</w:t>
            </w:r>
          </w:p>
        </w:tc>
      </w:tr>
      <w:tr>
        <w:tc>
          <w:tcPr>
            <w:tcW w:type="dxa" w:w="1620"/>
          </w:tcPr>
          <w:p>
            <w:r>
              <w:rPr>
                <w:sz w:val="18"/>
              </w:rPr>
              <w:t>MakerDAO</w:t>
            </w:r>
          </w:p>
        </w:tc>
        <w:tc>
          <w:tcPr>
            <w:tcW w:type="dxa" w:w="1200"/>
          </w:tcPr>
          <w:p>
            <w:r>
              <w:rPr>
                <w:sz w:val="18"/>
              </w:rPr>
              <w:t>MKR</w:t>
            </w:r>
          </w:p>
        </w:tc>
        <w:tc>
          <w:tcPr>
            <w:tcW w:type="dxa" w:w="1080"/>
          </w:tcPr>
          <w:p>
            <w:r>
              <w:rPr>
                <w:sz w:val="18"/>
              </w:rPr>
              <w:t>DeFi</w:t>
            </w:r>
          </w:p>
        </w:tc>
        <w:tc>
          <w:tcPr>
            <w:tcW w:type="dxa" w:w="960"/>
          </w:tcPr>
          <w:p>
            <w:r>
              <w:rPr>
                <w:sz w:val="18"/>
              </w:rPr>
              <w:t>0.0450</w:t>
            </w:r>
          </w:p>
        </w:tc>
        <w:tc>
          <w:tcPr>
            <w:tcW w:type="dxa" w:w="960"/>
          </w:tcPr>
          <w:p>
            <w:r>
              <w:rPr>
                <w:sz w:val="18"/>
              </w:rPr>
              <w:t>0.90</w:t>
            </w:r>
          </w:p>
        </w:tc>
        <w:tc>
          <w:tcPr>
            <w:tcW w:type="dxa" w:w="960"/>
          </w:tcPr>
          <w:p>
            <w:r>
              <w:rPr>
                <w:sz w:val="18"/>
              </w:rPr>
              <w:t>11.4%</w:t>
            </w:r>
          </w:p>
        </w:tc>
        <w:tc>
          <w:tcPr>
            <w:tcW w:type="dxa" w:w="1080"/>
          </w:tcPr>
          <w:p>
            <w:r>
              <w:rPr>
                <w:sz w:val="18"/>
              </w:rPr>
              <w:t>56.2%</w:t>
            </w:r>
          </w:p>
        </w:tc>
        <w:tc>
          <w:tcPr>
            <w:tcW w:type="dxa" w:w="1500"/>
          </w:tcPr>
          <w:p>
            <w:r>
              <w:rPr>
                <w:sz w:val="18"/>
              </w:rPr>
              <w:t>1000</w:t>
            </w:r>
          </w:p>
        </w:tc>
      </w:tr>
      <w:tr>
        <w:tc>
          <w:tcPr>
            <w:tcW w:type="dxa" w:w="1620"/>
          </w:tcPr>
          <w:p>
            <w:r>
              <w:rPr>
                <w:sz w:val="18"/>
              </w:rPr>
              <w:t>MetaDAO †</w:t>
            </w:r>
          </w:p>
        </w:tc>
        <w:tc>
          <w:tcPr>
            <w:tcW w:type="dxa" w:w="1200"/>
          </w:tcPr>
          <w:p>
            <w:r>
              <w:rPr>
                <w:sz w:val="18"/>
              </w:rPr>
              <w:t>META</w:t>
            </w:r>
          </w:p>
        </w:tc>
        <w:tc>
          <w:tcPr>
            <w:tcW w:type="dxa" w:w="1080"/>
          </w:tcPr>
          <w:p>
            <w:r>
              <w:rPr>
                <w:sz w:val="18"/>
              </w:rPr>
              <w:t>DeFi</w:t>
            </w:r>
          </w:p>
        </w:tc>
        <w:tc>
          <w:tcPr>
            <w:tcW w:type="dxa" w:w="960"/>
          </w:tcPr>
          <w:p>
            <w:r>
              <w:rPr>
                <w:sz w:val="18"/>
              </w:rPr>
              <w:t>0.0482</w:t>
            </w:r>
          </w:p>
        </w:tc>
        <w:tc>
          <w:tcPr>
            <w:tcW w:type="dxa" w:w="960"/>
          </w:tcPr>
          <w:p>
            <w:r>
              <w:rPr>
                <w:sz w:val="18"/>
              </w:rPr>
              <w:t>0.90</w:t>
            </w:r>
          </w:p>
        </w:tc>
        <w:tc>
          <w:tcPr>
            <w:tcW w:type="dxa" w:w="960"/>
          </w:tcPr>
          <w:p>
            <w:r>
              <w:rPr>
                <w:sz w:val="18"/>
              </w:rPr>
              <w:t>19.6%</w:t>
            </w:r>
          </w:p>
        </w:tc>
        <w:tc>
          <w:tcPr>
            <w:tcW w:type="dxa" w:w="1080"/>
          </w:tcPr>
          <w:p>
            <w:r>
              <w:rPr>
                <w:sz w:val="18"/>
              </w:rPr>
              <w:t>41.4%</w:t>
            </w:r>
          </w:p>
        </w:tc>
        <w:tc>
          <w:tcPr>
            <w:tcW w:type="dxa" w:w="1500"/>
          </w:tcPr>
          <w:p>
            <w:r>
              <w:rPr>
                <w:sz w:val="18"/>
              </w:rPr>
              <w:t>1000</w:t>
            </w:r>
          </w:p>
        </w:tc>
      </w:tr>
      <w:tr>
        <w:tc>
          <w:tcPr>
            <w:tcW w:type="dxa" w:w="1620"/>
          </w:tcPr>
          <w:p>
            <w:r>
              <w:rPr>
                <w:sz w:val="18"/>
              </w:rPr>
              <w:t>GMX</w:t>
            </w:r>
          </w:p>
        </w:tc>
        <w:tc>
          <w:tcPr>
            <w:tcW w:type="dxa" w:w="1200"/>
          </w:tcPr>
          <w:p>
            <w:r>
              <w:rPr>
                <w:sz w:val="18"/>
              </w:rPr>
              <w:t>GMX</w:t>
            </w:r>
          </w:p>
        </w:tc>
        <w:tc>
          <w:tcPr>
            <w:tcW w:type="dxa" w:w="1080"/>
          </w:tcPr>
          <w:p>
            <w:r>
              <w:rPr>
                <w:sz w:val="18"/>
              </w:rPr>
              <w:t>DeFi</w:t>
            </w:r>
          </w:p>
        </w:tc>
        <w:tc>
          <w:tcPr>
            <w:tcW w:type="dxa" w:w="960"/>
          </w:tcPr>
          <w:p>
            <w:r>
              <w:rPr>
                <w:sz w:val="18"/>
              </w:rPr>
              <w:t>0.0564</w:t>
            </w:r>
          </w:p>
        </w:tc>
        <w:tc>
          <w:tcPr>
            <w:tcW w:type="dxa" w:w="960"/>
          </w:tcPr>
          <w:p>
            <w:r>
              <w:rPr>
                <w:sz w:val="18"/>
              </w:rPr>
              <w:t>0.93</w:t>
            </w:r>
          </w:p>
        </w:tc>
        <w:tc>
          <w:tcPr>
            <w:tcW w:type="dxa" w:w="960"/>
          </w:tcPr>
          <w:p>
            <w:r>
              <w:rPr>
                <w:sz w:val="18"/>
              </w:rPr>
              <w:t>17.5%</w:t>
            </w:r>
          </w:p>
        </w:tc>
        <w:tc>
          <w:tcPr>
            <w:tcW w:type="dxa" w:w="1080"/>
          </w:tcPr>
          <w:p>
            <w:r>
              <w:rPr>
                <w:sz w:val="18"/>
              </w:rPr>
              <w:t>60.2%</w:t>
            </w:r>
          </w:p>
        </w:tc>
        <w:tc>
          <w:tcPr>
            <w:tcW w:type="dxa" w:w="1500"/>
          </w:tcPr>
          <w:p>
            <w:r>
              <w:rPr>
                <w:sz w:val="18"/>
              </w:rPr>
              <w:t>999</w:t>
            </w:r>
          </w:p>
        </w:tc>
      </w:tr>
      <w:tr>
        <w:tc>
          <w:tcPr>
            <w:tcW w:type="dxa" w:w="1620"/>
          </w:tcPr>
          <w:p>
            <w:r>
              <w:rPr>
                <w:sz w:val="18"/>
              </w:rPr>
              <w:t>Aave</w:t>
            </w:r>
          </w:p>
        </w:tc>
        <w:tc>
          <w:tcPr>
            <w:tcW w:type="dxa" w:w="1200"/>
          </w:tcPr>
          <w:p>
            <w:r>
              <w:rPr>
                <w:sz w:val="18"/>
              </w:rPr>
              <w:t>AAVE</w:t>
            </w:r>
          </w:p>
        </w:tc>
        <w:tc>
          <w:tcPr>
            <w:tcW w:type="dxa" w:w="1080"/>
          </w:tcPr>
          <w:p>
            <w:r>
              <w:rPr>
                <w:sz w:val="18"/>
              </w:rPr>
              <w:t>DeFi</w:t>
            </w:r>
          </w:p>
        </w:tc>
        <w:tc>
          <w:tcPr>
            <w:tcW w:type="dxa" w:w="960"/>
          </w:tcPr>
          <w:p>
            <w:r>
              <w:rPr>
                <w:sz w:val="18"/>
              </w:rPr>
              <w:t>0.020</w:t>
            </w:r>
          </w:p>
        </w:tc>
        <w:tc>
          <w:tcPr>
            <w:tcW w:type="dxa" w:w="960"/>
          </w:tcPr>
          <w:p>
            <w:r>
              <w:rPr>
                <w:sz w:val="18"/>
              </w:rPr>
              <w:t>0.88</w:t>
            </w:r>
          </w:p>
        </w:tc>
        <w:tc>
          <w:tcPr>
            <w:tcW w:type="dxa" w:w="960"/>
          </w:tcPr>
          <w:p>
            <w:r>
              <w:rPr>
                <w:sz w:val="18"/>
              </w:rPr>
              <w:t>7.5%¶</w:t>
            </w:r>
          </w:p>
        </w:tc>
        <w:tc>
          <w:tcPr>
            <w:tcW w:type="dxa" w:w="1080"/>
          </w:tcPr>
          <w:p>
            <w:pPr/>
            <w:del w:id="1029" w:author="Zach Zukowski (R1 revision)" w:date="2026-05-10T00:00:00Z">
              <w:r>
                <w:rPr>
                  <w:strike w:val="true"/>
                  <w:color w:val="C00000"/>
                </w:rPr>
                <w:delText xml:space="preserve">47.6%</w:delText>
              </w:r>
            </w:del>
            <w:ins w:id="1030" w:author="Zach Zukowski (R1 revision)" w:date="2026-05-10T00:00:00Z">
              <w:r>
                <w:rPr>
                  <w:color w:val="0070C0"/>
                </w:rPr>
                <w:t xml:space="preserve">34.9%¶</w:t>
              </w:r>
            </w:ins>
          </w:p>
        </w:tc>
        <w:tc>
          <w:tcPr>
            <w:tcW w:type="dxa" w:w="1500"/>
          </w:tcPr>
          <w:p>
            <w:r>
              <w:rPr>
                <w:sz w:val="18"/>
              </w:rPr>
              <w:t>1000</w:t>
            </w:r>
          </w:p>
        </w:tc>
      </w:tr>
      <w:tr>
        <w:tc>
          <w:tcPr>
            <w:tcW w:type="dxa" w:w="1620"/>
          </w:tcPr>
          <w:p>
            <w:r>
              <w:rPr>
                <w:sz w:val="18"/>
              </w:rPr>
              <w:t>Ether.Fi</w:t>
            </w:r>
          </w:p>
        </w:tc>
        <w:tc>
          <w:tcPr>
            <w:tcW w:type="dxa" w:w="1200"/>
          </w:tcPr>
          <w:p>
            <w:r>
              <w:rPr>
                <w:sz w:val="18"/>
              </w:rPr>
              <w:t>ETHFI</w:t>
            </w:r>
          </w:p>
        </w:tc>
        <w:tc>
          <w:tcPr>
            <w:tcW w:type="dxa" w:w="1080"/>
          </w:tcPr>
          <w:p>
            <w:r>
              <w:rPr>
                <w:sz w:val="18"/>
              </w:rPr>
              <w:t>DeFi</w:t>
            </w:r>
          </w:p>
        </w:tc>
        <w:tc>
          <w:tcPr>
            <w:tcW w:type="dxa" w:w="960"/>
          </w:tcPr>
          <w:p>
            <w:r>
              <w:rPr>
                <w:sz w:val="18"/>
              </w:rPr>
              <w:t>0.0668</w:t>
            </w:r>
          </w:p>
        </w:tc>
        <w:tc>
          <w:tcPr>
            <w:tcW w:type="dxa" w:w="960"/>
          </w:tcPr>
          <w:p>
            <w:r>
              <w:rPr>
                <w:sz w:val="18"/>
              </w:rPr>
              <w:t>0.95</w:t>
            </w:r>
          </w:p>
        </w:tc>
        <w:tc>
          <w:tcPr>
            <w:tcW w:type="dxa" w:w="960"/>
          </w:tcPr>
          <w:p>
            <w:r>
              <w:rPr>
                <w:sz w:val="18"/>
              </w:rPr>
              <w:t>19.0%</w:t>
            </w:r>
          </w:p>
        </w:tc>
        <w:tc>
          <w:tcPr>
            <w:tcW w:type="dxa" w:w="1080"/>
          </w:tcPr>
          <w:p>
            <w:r>
              <w:rPr>
                <w:sz w:val="18"/>
              </w:rPr>
              <w:t>59.9%</w:t>
            </w:r>
          </w:p>
        </w:tc>
        <w:tc>
          <w:tcPr>
            <w:tcW w:type="dxa" w:w="1500"/>
          </w:tcPr>
          <w:p>
            <w:r>
              <w:rPr>
                <w:sz w:val="18"/>
              </w:rPr>
              <w:t>1000</w:t>
            </w:r>
          </w:p>
        </w:tc>
      </w:tr>
      <w:tr>
        <w:tc>
          <w:tcPr>
            <w:tcW w:type="dxa" w:w="1620"/>
          </w:tcPr>
          <w:p>
            <w:r>
              <w:rPr>
                <w:sz w:val="18"/>
              </w:rPr>
              <w:t>Uniswap</w:t>
            </w:r>
          </w:p>
        </w:tc>
        <w:tc>
          <w:tcPr>
            <w:tcW w:type="dxa" w:w="1200"/>
          </w:tcPr>
          <w:p>
            <w:r>
              <w:rPr>
                <w:sz w:val="18"/>
              </w:rPr>
              <w:t>UNI</w:t>
            </w:r>
          </w:p>
        </w:tc>
        <w:tc>
          <w:tcPr>
            <w:tcW w:type="dxa" w:w="1080"/>
          </w:tcPr>
          <w:p>
            <w:r>
              <w:rPr>
                <w:sz w:val="18"/>
              </w:rPr>
              <w:t>DeFi</w:t>
            </w:r>
          </w:p>
        </w:tc>
        <w:tc>
          <w:tcPr>
            <w:tcW w:type="dxa" w:w="960"/>
          </w:tcPr>
          <w:p>
            <w:pPr/>
            <w:del w:id="1027" w:author="Zach Zukowski (R1 revision)" w:date="2026-05-10T00:00:00Z">
              <w:r>
                <w:rPr>
                  <w:strike w:val="true"/>
                  <w:color w:val="C00000"/>
                </w:rPr>
                <w:delText xml:space="preserve">0.032</w:delText>
              </w:r>
            </w:del>
            <w:ins w:id="1028" w:author="Zach Zukowski (R1 revision)" w:date="2026-05-10T00:00:00Z">
              <w:r>
                <w:rPr>
                  <w:color w:val="0070C0"/>
                </w:rPr>
                <w:t xml:space="preserve">0.010¶</w:t>
              </w:r>
            </w:ins>
          </w:p>
        </w:tc>
        <w:tc>
          <w:tcPr>
            <w:tcW w:type="dxa" w:w="960"/>
          </w:tcPr>
          <w:p>
            <w:r>
              <w:rPr>
                <w:sz w:val="18"/>
              </w:rPr>
              <w:t>0.89</w:t>
            </w:r>
          </w:p>
        </w:tc>
        <w:tc>
          <w:tcPr>
            <w:tcW w:type="dxa" w:w="960"/>
          </w:tcPr>
          <w:p>
            <w:r>
              <w:rPr>
                <w:sz w:val="18"/>
              </w:rPr>
              <w:t>4.2%¶</w:t>
            </w:r>
          </w:p>
        </w:tc>
        <w:tc>
          <w:tcPr>
            <w:tcW w:type="dxa" w:w="1080"/>
          </w:tcPr>
          <w:p>
            <w:pPr/>
            <w:del w:id="1031" w:author="Zach Zukowski (R1 revision)" w:date="2026-05-10T00:00:00Z">
              <w:r>
                <w:rPr>
                  <w:strike w:val="true"/>
                  <w:color w:val="C00000"/>
                </w:rPr>
                <w:delText xml:space="preserve">52.1%</w:delText>
              </w:r>
            </w:del>
            <w:ins w:id="1032" w:author="Zach Zukowski (R1 revision)" w:date="2026-05-10T00:00:00Z">
              <w:r>
                <w:rPr>
                  <w:color w:val="0070C0"/>
                </w:rPr>
                <w:t xml:space="preserve">22.9%¶</w:t>
              </w:r>
            </w:ins>
          </w:p>
        </w:tc>
        <w:tc>
          <w:tcPr>
            <w:tcW w:type="dxa" w:w="1500"/>
          </w:tcPr>
          <w:p>
            <w:r>
              <w:rPr>
                <w:sz w:val="18"/>
              </w:rPr>
              <w:t>1000</w:t>
            </w:r>
          </w:p>
        </w:tc>
      </w:tr>
      <w:tr>
        <w:tc>
          <w:tcPr>
            <w:tcW w:type="dxa" w:w="1620"/>
          </w:tcPr>
          <w:p>
            <w:r>
              <w:rPr>
                <w:sz w:val="18"/>
              </w:rPr>
              <w:t>Drift</w:t>
            </w:r>
          </w:p>
        </w:tc>
        <w:tc>
          <w:tcPr>
            <w:tcW w:type="dxa" w:w="1200"/>
          </w:tcPr>
          <w:p>
            <w:r>
              <w:rPr>
                <w:sz w:val="18"/>
              </w:rPr>
              <w:t>DRIFT</w:t>
            </w:r>
          </w:p>
        </w:tc>
        <w:tc>
          <w:tcPr>
            <w:tcW w:type="dxa" w:w="1080"/>
          </w:tcPr>
          <w:p>
            <w:r>
              <w:rPr>
                <w:sz w:val="18"/>
              </w:rPr>
              <w:t>DeFi</w:t>
            </w:r>
          </w:p>
        </w:tc>
        <w:tc>
          <w:tcPr>
            <w:tcW w:type="dxa" w:w="960"/>
          </w:tcPr>
          <w:p>
            <w:r>
              <w:rPr>
                <w:sz w:val="18"/>
              </w:rPr>
              <w:t>0.1011</w:t>
            </w:r>
          </w:p>
        </w:tc>
        <w:tc>
          <w:tcPr>
            <w:tcW w:type="dxa" w:w="960"/>
          </w:tcPr>
          <w:p>
            <w:r>
              <w:rPr>
                <w:sz w:val="18"/>
              </w:rPr>
              <w:t>0.94</w:t>
            </w:r>
          </w:p>
        </w:tc>
        <w:tc>
          <w:tcPr>
            <w:tcW w:type="dxa" w:w="960"/>
          </w:tcPr>
          <w:p>
            <w:r>
              <w:rPr>
                <w:sz w:val="18"/>
              </w:rPr>
              <w:t>27.0%</w:t>
            </w:r>
          </w:p>
        </w:tc>
        <w:tc>
          <w:tcPr>
            <w:tcW w:type="dxa" w:w="1080"/>
          </w:tcPr>
          <w:p>
            <w:r>
              <w:rPr>
                <w:sz w:val="18"/>
              </w:rPr>
              <w:t>61.7%</w:t>
            </w:r>
          </w:p>
        </w:tc>
        <w:tc>
          <w:tcPr>
            <w:tcW w:type="dxa" w:w="1500"/>
          </w:tcPr>
          <w:p>
            <w:r>
              <w:rPr>
                <w:sz w:val="18"/>
              </w:rPr>
              <w:t>1000</w:t>
            </w:r>
          </w:p>
        </w:tc>
      </w:tr>
      <w:tr>
        <w:tc>
          <w:tcPr>
            <w:tcW w:type="dxa" w:w="1620"/>
          </w:tcPr>
          <w:p>
            <w:r>
              <w:rPr>
                <w:sz w:val="18"/>
              </w:rPr>
              <w:t>Jupiter</w:t>
            </w:r>
          </w:p>
        </w:tc>
        <w:tc>
          <w:tcPr>
            <w:tcW w:type="dxa" w:w="1200"/>
          </w:tcPr>
          <w:p>
            <w:r>
              <w:rPr>
                <w:sz w:val="18"/>
              </w:rPr>
              <w:t>JUP</w:t>
            </w:r>
          </w:p>
        </w:tc>
        <w:tc>
          <w:tcPr>
            <w:tcW w:type="dxa" w:w="1080"/>
          </w:tcPr>
          <w:p>
            <w:r>
              <w:rPr>
                <w:sz w:val="18"/>
              </w:rPr>
              <w:t>DeFi</w:t>
            </w:r>
          </w:p>
        </w:tc>
        <w:tc>
          <w:tcPr>
            <w:tcW w:type="dxa" w:w="960"/>
          </w:tcPr>
          <w:p>
            <w:r>
              <w:rPr>
                <w:sz w:val="18"/>
              </w:rPr>
              <w:t>0.1166</w:t>
            </w:r>
          </w:p>
        </w:tc>
        <w:tc>
          <w:tcPr>
            <w:tcW w:type="dxa" w:w="960"/>
          </w:tcPr>
          <w:p>
            <w:r>
              <w:rPr>
                <w:sz w:val="18"/>
              </w:rPr>
              <w:t>0.98</w:t>
            </w:r>
          </w:p>
        </w:tc>
        <w:tc>
          <w:tcPr>
            <w:tcW w:type="dxa" w:w="960"/>
          </w:tcPr>
          <w:p>
            <w:r>
              <w:rPr>
                <w:sz w:val="18"/>
              </w:rPr>
              <w:t>25.1%</w:t>
            </w:r>
          </w:p>
        </w:tc>
        <w:tc>
          <w:tcPr>
            <w:tcW w:type="dxa" w:w="1080"/>
          </w:tcPr>
          <w:p>
            <w:r>
              <w:rPr>
                <w:sz w:val="18"/>
              </w:rPr>
              <w:t>75.0%</w:t>
            </w:r>
          </w:p>
        </w:tc>
        <w:tc>
          <w:tcPr>
            <w:tcW w:type="dxa" w:w="1500"/>
          </w:tcPr>
          <w:p>
            <w:r>
              <w:rPr>
                <w:sz w:val="18"/>
              </w:rPr>
              <w:t>1000</w:t>
            </w:r>
          </w:p>
        </w:tc>
      </w:tr>
      <w:tr>
        <w:tc>
          <w:tcPr>
            <w:tcW w:type="dxa" w:w="1620"/>
          </w:tcPr>
          <w:p>
            <w:r>
              <w:rPr>
                <w:sz w:val="18"/>
              </w:rPr>
              <w:t>Curve</w:t>
            </w:r>
          </w:p>
        </w:tc>
        <w:tc>
          <w:tcPr>
            <w:tcW w:type="dxa" w:w="1200"/>
          </w:tcPr>
          <w:p>
            <w:r>
              <w:rPr>
                <w:sz w:val="18"/>
              </w:rPr>
              <w:t>CRV</w:t>
            </w:r>
          </w:p>
        </w:tc>
        <w:tc>
          <w:tcPr>
            <w:tcW w:type="dxa" w:w="1080"/>
          </w:tcPr>
          <w:p>
            <w:r>
              <w:rPr>
                <w:sz w:val="18"/>
              </w:rPr>
              <w:t>DeFi</w:t>
            </w:r>
          </w:p>
        </w:tc>
        <w:tc>
          <w:tcPr>
            <w:tcW w:type="dxa" w:w="960"/>
          </w:tcPr>
          <w:p>
            <w:pPr/>
            <w:del w:id="1025" w:author="Zach Zukowski (R1 revision)" w:date="2026-05-10T00:00:00Z">
              <w:r>
                <w:rPr>
                  <w:strike w:val="true"/>
                  <w:color w:val="C00000"/>
                </w:rPr>
                <w:delText xml:space="preserve">0.1706</w:delText>
              </w:r>
            </w:del>
            <w:ins w:id="1026" w:author="Zach Zukowski (R1 revision)" w:date="2026-05-10T00:00:00Z">
              <w:r>
                <w:rPr>
                  <w:color w:val="0070C0"/>
                </w:rPr>
                <w:t xml:space="preserve">0.017¶</w:t>
              </w:r>
            </w:ins>
          </w:p>
        </w:tc>
        <w:tc>
          <w:tcPr>
            <w:tcW w:type="dxa" w:w="960"/>
          </w:tcPr>
          <w:p>
            <w:r>
              <w:rPr>
                <w:sz w:val="18"/>
              </w:rPr>
              <w:t>0.89</w:t>
            </w:r>
          </w:p>
        </w:tc>
        <w:tc>
          <w:tcPr>
            <w:tcW w:type="dxa" w:w="960"/>
          </w:tcPr>
          <w:p>
            <w:r>
              <w:rPr>
                <w:sz w:val="18"/>
              </w:rPr>
              <w:t>6.7%</w:t>
            </w:r>
          </w:p>
        </w:tc>
        <w:tc>
          <w:tcPr>
            <w:tcW w:type="dxa" w:w="1080"/>
          </w:tcPr>
          <w:p>
            <w:r>
              <w:rPr>
                <w:sz w:val="18"/>
              </w:rPr>
              <w:t>60.7%</w:t>
            </w:r>
          </w:p>
        </w:tc>
        <w:tc>
          <w:tcPr>
            <w:tcW w:type="dxa" w:w="1500"/>
          </w:tcPr>
          <w:p>
            <w:r>
              <w:rPr>
                <w:sz w:val="18"/>
              </w:rPr>
              <w:t>1000</w:t>
            </w:r>
          </w:p>
        </w:tc>
      </w:tr>
      <w:tr>
        <w:tc>
          <w:tcPr>
            <w:tcW w:type="dxa" w:w="1620"/>
          </w:tcPr>
          <w:p>
            <w:r>
              <w:rPr>
                <w:sz w:val="18"/>
              </w:rPr>
              <w:t>Axelar</w:t>
            </w:r>
          </w:p>
        </w:tc>
        <w:tc>
          <w:tcPr>
            <w:tcW w:type="dxa" w:w="1200"/>
          </w:tcPr>
          <w:p>
            <w:r>
              <w:rPr>
                <w:sz w:val="18"/>
              </w:rPr>
              <w:t>AXL</w:t>
            </w:r>
          </w:p>
        </w:tc>
        <w:tc>
          <w:tcPr>
            <w:tcW w:type="dxa" w:w="1080"/>
          </w:tcPr>
          <w:p>
            <w:r>
              <w:rPr>
                <w:sz w:val="18"/>
              </w:rPr>
              <w:t>L1/L2/Infra</w:t>
            </w:r>
          </w:p>
        </w:tc>
        <w:tc>
          <w:tcPr>
            <w:tcW w:type="dxa" w:w="960"/>
          </w:tcPr>
          <w:p>
            <w:r>
              <w:rPr>
                <w:sz w:val="18"/>
              </w:rPr>
              <w:t>0.0277</w:t>
            </w:r>
          </w:p>
        </w:tc>
        <w:tc>
          <w:tcPr>
            <w:tcW w:type="dxa" w:w="960"/>
          </w:tcPr>
          <w:p>
            <w:r>
              <w:rPr>
                <w:sz w:val="18"/>
              </w:rPr>
              <w:t>0.85</w:t>
            </w:r>
          </w:p>
        </w:tc>
        <w:tc>
          <w:tcPr>
            <w:tcW w:type="dxa" w:w="960"/>
          </w:tcPr>
          <w:p>
            <w:r>
              <w:rPr>
                <w:sz w:val="18"/>
              </w:rPr>
              <w:t>9.2%</w:t>
            </w:r>
          </w:p>
        </w:tc>
        <w:tc>
          <w:tcPr>
            <w:tcW w:type="dxa" w:w="1080"/>
          </w:tcPr>
          <w:p>
            <w:r>
              <w:rPr>
                <w:sz w:val="18"/>
              </w:rPr>
              <w:t>42.7%</w:t>
            </w:r>
          </w:p>
        </w:tc>
        <w:tc>
          <w:tcPr>
            <w:tcW w:type="dxa" w:w="1500"/>
          </w:tcPr>
          <w:p>
            <w:r>
              <w:rPr>
                <w:sz w:val="18"/>
              </w:rPr>
              <w:t>994</w:t>
            </w:r>
          </w:p>
        </w:tc>
      </w:tr>
      <w:tr>
        <w:tc>
          <w:tcPr>
            <w:tcW w:type="dxa" w:w="1620"/>
          </w:tcPr>
          <w:p>
            <w:r>
              <w:rPr>
                <w:sz w:val="18"/>
              </w:rPr>
              <w:t>LayerZero</w:t>
            </w:r>
          </w:p>
        </w:tc>
        <w:tc>
          <w:tcPr>
            <w:tcW w:type="dxa" w:w="1200"/>
          </w:tcPr>
          <w:p>
            <w:r>
              <w:rPr>
                <w:sz w:val="18"/>
              </w:rPr>
              <w:t>ZRO</w:t>
            </w:r>
          </w:p>
        </w:tc>
        <w:tc>
          <w:tcPr>
            <w:tcW w:type="dxa" w:w="1080"/>
          </w:tcPr>
          <w:p>
            <w:r>
              <w:rPr>
                <w:sz w:val="18"/>
              </w:rPr>
              <w:t>L1/L2/Infra</w:t>
            </w:r>
          </w:p>
        </w:tc>
        <w:tc>
          <w:tcPr>
            <w:tcW w:type="dxa" w:w="960"/>
          </w:tcPr>
          <w:p>
            <w:r>
              <w:rPr>
                <w:sz w:val="18"/>
              </w:rPr>
              <w:t>0.0147</w:t>
            </w:r>
          </w:p>
        </w:tc>
        <w:tc>
          <w:tcPr>
            <w:tcW w:type="dxa" w:w="960"/>
          </w:tcPr>
          <w:p>
            <w:r>
              <w:rPr>
                <w:sz w:val="18"/>
              </w:rPr>
              <w:t>0.89</w:t>
            </w:r>
          </w:p>
        </w:tc>
        <w:tc>
          <w:tcPr>
            <w:tcW w:type="dxa" w:w="960"/>
          </w:tcPr>
          <w:p>
            <w:r>
              <w:rPr>
                <w:sz w:val="18"/>
              </w:rPr>
              <w:t>4.1%</w:t>
            </w:r>
          </w:p>
        </w:tc>
        <w:tc>
          <w:tcPr>
            <w:tcW w:type="dxa" w:w="1080"/>
          </w:tcPr>
          <w:p>
            <w:r>
              <w:rPr>
                <w:sz w:val="18"/>
              </w:rPr>
              <w:t>30.5%</w:t>
            </w:r>
          </w:p>
        </w:tc>
        <w:tc>
          <w:tcPr>
            <w:tcW w:type="dxa" w:w="1500"/>
          </w:tcPr>
          <w:p>
            <w:r>
              <w:rPr>
                <w:sz w:val="18"/>
              </w:rPr>
              <w:t>989</w:t>
            </w:r>
          </w:p>
        </w:tc>
      </w:tr>
      <w:tr>
        <w:tc>
          <w:tcPr>
            <w:tcW w:type="dxa" w:w="1620"/>
          </w:tcPr>
          <w:p>
            <w:r>
              <w:rPr>
                <w:sz w:val="18"/>
              </w:rPr>
              <w:t>Wormhole</w:t>
            </w:r>
          </w:p>
        </w:tc>
        <w:tc>
          <w:tcPr>
            <w:tcW w:type="dxa" w:w="1200"/>
          </w:tcPr>
          <w:p>
            <w:r>
              <w:rPr>
                <w:sz w:val="18"/>
              </w:rPr>
              <w:t>W</w:t>
            </w:r>
          </w:p>
        </w:tc>
        <w:tc>
          <w:tcPr>
            <w:tcW w:type="dxa" w:w="1080"/>
          </w:tcPr>
          <w:p>
            <w:r>
              <w:rPr>
                <w:sz w:val="18"/>
              </w:rPr>
              <w:t>L1/L2/Infra</w:t>
            </w:r>
          </w:p>
        </w:tc>
        <w:tc>
          <w:tcPr>
            <w:tcW w:type="dxa" w:w="960"/>
          </w:tcPr>
          <w:p>
            <w:r>
              <w:rPr>
                <w:sz w:val="18"/>
              </w:rPr>
              <w:t>0.0149</w:t>
            </w:r>
          </w:p>
        </w:tc>
        <w:tc>
          <w:tcPr>
            <w:tcW w:type="dxa" w:w="960"/>
          </w:tcPr>
          <w:p>
            <w:r>
              <w:rPr>
                <w:sz w:val="18"/>
              </w:rPr>
              <w:t>0.87</w:t>
            </w:r>
          </w:p>
        </w:tc>
        <w:tc>
          <w:tcPr>
            <w:tcW w:type="dxa" w:w="960"/>
          </w:tcPr>
          <w:p>
            <w:r>
              <w:rPr>
                <w:sz w:val="18"/>
              </w:rPr>
              <w:t>7.0%</w:t>
            </w:r>
          </w:p>
        </w:tc>
        <w:tc>
          <w:tcPr>
            <w:tcW w:type="dxa" w:w="1080"/>
          </w:tcPr>
          <w:p>
            <w:r>
              <w:rPr>
                <w:sz w:val="18"/>
              </w:rPr>
              <w:t>23.8%</w:t>
            </w:r>
          </w:p>
        </w:tc>
        <w:tc>
          <w:tcPr>
            <w:tcW w:type="dxa" w:w="1500"/>
          </w:tcPr>
          <w:p>
            <w:r>
              <w:rPr>
                <w:sz w:val="18"/>
              </w:rPr>
              <w:t>1000</w:t>
            </w:r>
          </w:p>
        </w:tc>
      </w:tr>
      <w:tr>
        <w:tc>
          <w:tcPr>
            <w:tcW w:type="dxa" w:w="1620"/>
          </w:tcPr>
          <w:p>
            <w:r>
              <w:rPr>
                <w:sz w:val="18"/>
              </w:rPr>
              <w:t>Polygon</w:t>
            </w:r>
          </w:p>
        </w:tc>
        <w:tc>
          <w:tcPr>
            <w:tcW w:type="dxa" w:w="1200"/>
          </w:tcPr>
          <w:p>
            <w:r>
              <w:rPr>
                <w:sz w:val="18"/>
              </w:rPr>
              <w:t>POL</w:t>
            </w:r>
          </w:p>
        </w:tc>
        <w:tc>
          <w:tcPr>
            <w:tcW w:type="dxa" w:w="1080"/>
          </w:tcPr>
          <w:p>
            <w:r>
              <w:rPr>
                <w:sz w:val="18"/>
              </w:rPr>
              <w:t>L1/L2/Infra</w:t>
            </w:r>
          </w:p>
        </w:tc>
        <w:tc>
          <w:tcPr>
            <w:tcW w:type="dxa" w:w="960"/>
          </w:tcPr>
          <w:p>
            <w:r>
              <w:rPr>
                <w:sz w:val="18"/>
              </w:rPr>
              <w:t>0.0348</w:t>
            </w:r>
          </w:p>
        </w:tc>
        <w:tc>
          <w:tcPr>
            <w:tcW w:type="dxa" w:w="960"/>
          </w:tcPr>
          <w:p>
            <w:r>
              <w:rPr>
                <w:sz w:val="18"/>
              </w:rPr>
              <w:t>0.92</w:t>
            </w:r>
          </w:p>
        </w:tc>
        <w:tc>
          <w:tcPr>
            <w:tcW w:type="dxa" w:w="960"/>
          </w:tcPr>
          <w:p>
            <w:r>
              <w:rPr>
                <w:sz w:val="18"/>
              </w:rPr>
              <w:t>12.1%</w:t>
            </w:r>
          </w:p>
        </w:tc>
        <w:tc>
          <w:tcPr>
            <w:tcW w:type="dxa" w:w="1080"/>
          </w:tcPr>
          <w:p>
            <w:r>
              <w:rPr>
                <w:sz w:val="18"/>
              </w:rPr>
              <w:t>49.5%</w:t>
            </w:r>
          </w:p>
        </w:tc>
        <w:tc>
          <w:tcPr>
            <w:tcW w:type="dxa" w:w="1500"/>
          </w:tcPr>
          <w:p>
            <w:r>
              <w:rPr>
                <w:sz w:val="18"/>
              </w:rPr>
              <w:t>998</w:t>
            </w:r>
          </w:p>
        </w:tc>
      </w:tr>
      <w:tr>
        <w:tc>
          <w:tcPr>
            <w:tcW w:type="dxa" w:w="1620"/>
          </w:tcPr>
          <w:p>
            <w:r>
              <w:rPr>
                <w:sz w:val="18"/>
              </w:rPr>
              <w:t>Arbitrum</w:t>
            </w:r>
          </w:p>
        </w:tc>
        <w:tc>
          <w:tcPr>
            <w:tcW w:type="dxa" w:w="1200"/>
          </w:tcPr>
          <w:p>
            <w:r>
              <w:rPr>
                <w:sz w:val="18"/>
              </w:rPr>
              <w:t>ARB</w:t>
            </w:r>
          </w:p>
        </w:tc>
        <w:tc>
          <w:tcPr>
            <w:tcW w:type="dxa" w:w="1080"/>
          </w:tcPr>
          <w:p>
            <w:r>
              <w:rPr>
                <w:sz w:val="18"/>
              </w:rPr>
              <w:t>L1/L2/Infra</w:t>
            </w:r>
          </w:p>
        </w:tc>
        <w:tc>
          <w:tcPr>
            <w:tcW w:type="dxa" w:w="960"/>
          </w:tcPr>
          <w:p>
            <w:r>
              <w:rPr>
                <w:sz w:val="18"/>
              </w:rPr>
              <w:t>0.012</w:t>
            </w:r>
          </w:p>
        </w:tc>
        <w:tc>
          <w:tcPr>
            <w:tcW w:type="dxa" w:w="960"/>
          </w:tcPr>
          <w:p>
            <w:r>
              <w:rPr>
                <w:sz w:val="18"/>
              </w:rPr>
              <w:t>0.83</w:t>
            </w:r>
          </w:p>
        </w:tc>
        <w:tc>
          <w:tcPr>
            <w:tcW w:type="dxa" w:w="960"/>
          </w:tcPr>
          <w:p>
            <w:r>
              <w:rPr>
                <w:sz w:val="18"/>
              </w:rPr>
              <w:t>8.6%¶</w:t>
            </w:r>
          </w:p>
        </w:tc>
        <w:tc>
          <w:tcPr>
            <w:tcW w:type="dxa" w:w="1080"/>
          </w:tcPr>
          <w:p>
            <w:pPr/>
            <w:del w:id="1033" w:author="Zach Zukowski (R1 revision)" w:date="2026-05-10T00:00:00Z">
              <w:r>
                <w:rPr>
                  <w:strike w:val="true"/>
                  <w:color w:val="C00000"/>
                </w:rPr>
                <w:delText xml:space="preserve">47.2%</w:delText>
              </w:r>
            </w:del>
            <w:ins w:id="1034" w:author="Zach Zukowski (R1 revision)" w:date="2026-05-10T00:00:00Z">
              <w:r>
                <w:rPr>
                  <w:color w:val="0070C0"/>
                </w:rPr>
                <w:t xml:space="preserve">22.4%¶</w:t>
              </w:r>
            </w:ins>
          </w:p>
        </w:tc>
        <w:tc>
          <w:tcPr>
            <w:tcW w:type="dxa" w:w="1500"/>
          </w:tcPr>
          <w:p>
            <w:r>
              <w:rPr>
                <w:sz w:val="18"/>
              </w:rPr>
              <w:t>1000</w:t>
            </w:r>
          </w:p>
        </w:tc>
      </w:tr>
      <w:tr>
        <w:tc>
          <w:tcPr>
            <w:tcW w:type="dxa" w:w="1620"/>
          </w:tcPr>
          <w:p>
            <w:r>
              <w:rPr>
                <w:sz w:val="18"/>
              </w:rPr>
              <w:t>The Graph</w:t>
            </w:r>
          </w:p>
        </w:tc>
        <w:tc>
          <w:tcPr>
            <w:tcW w:type="dxa" w:w="1200"/>
          </w:tcPr>
          <w:p>
            <w:r>
              <w:rPr>
                <w:sz w:val="18"/>
              </w:rPr>
              <w:t>GRT</w:t>
            </w:r>
          </w:p>
        </w:tc>
        <w:tc>
          <w:tcPr>
            <w:tcW w:type="dxa" w:w="1080"/>
          </w:tcPr>
          <w:p>
            <w:r>
              <w:rPr>
                <w:sz w:val="18"/>
              </w:rPr>
              <w:t>L1/L2/Infra</w:t>
            </w:r>
          </w:p>
        </w:tc>
        <w:tc>
          <w:tcPr>
            <w:tcW w:type="dxa" w:w="960"/>
          </w:tcPr>
          <w:p>
            <w:r>
              <w:rPr>
                <w:sz w:val="18"/>
              </w:rPr>
              <w:t>0.033</w:t>
            </w:r>
          </w:p>
        </w:tc>
        <w:tc>
          <w:tcPr>
            <w:tcW w:type="dxa" w:w="960"/>
          </w:tcPr>
          <w:p>
            <w:r>
              <w:rPr>
                <w:sz w:val="18"/>
              </w:rPr>
              <w:t>0.92</w:t>
            </w:r>
          </w:p>
        </w:tc>
        <w:tc>
          <w:tcPr>
            <w:tcW w:type="dxa" w:w="960"/>
          </w:tcPr>
          <w:p>
            <w:r>
              <w:rPr>
                <w:sz w:val="18"/>
              </w:rPr>
              <w:t>13.1%¶</w:t>
            </w:r>
          </w:p>
        </w:tc>
        <w:tc>
          <w:tcPr>
            <w:tcW w:type="dxa" w:w="1080"/>
          </w:tcPr>
          <w:p>
            <w:pPr/>
            <w:del w:id="1035" w:author="Zach Zukowski (R1 revision)" w:date="2026-05-10T00:00:00Z">
              <w:r>
                <w:rPr>
                  <w:strike w:val="true"/>
                  <w:color w:val="C00000"/>
                </w:rPr>
                <w:delText xml:space="preserve">59.7%</w:delText>
              </w:r>
            </w:del>
            <w:ins w:id="1036" w:author="Zach Zukowski (R1 revision)" w:date="2026-05-10T00:00:00Z">
              <w:r>
                <w:rPr>
                  <w:color w:val="0070C0"/>
                </w:rPr>
                <w:t xml:space="preserve">40.2%¶</w:t>
              </w:r>
            </w:ins>
          </w:p>
        </w:tc>
        <w:tc>
          <w:tcPr>
            <w:tcW w:type="dxa" w:w="1500"/>
          </w:tcPr>
          <w:p>
            <w:r>
              <w:rPr>
                <w:sz w:val="18"/>
              </w:rPr>
              <w:t>1000</w:t>
            </w:r>
          </w:p>
        </w:tc>
      </w:tr>
      <w:tr>
        <w:tc>
          <w:tcPr>
            <w:tcW w:type="dxa" w:w="1620"/>
          </w:tcPr>
          <w:p>
            <w:r>
              <w:rPr>
                <w:sz w:val="18"/>
              </w:rPr>
              <w:t>Optimism</w:t>
            </w:r>
          </w:p>
        </w:tc>
        <w:tc>
          <w:tcPr>
            <w:tcW w:type="dxa" w:w="1200"/>
          </w:tcPr>
          <w:p>
            <w:r>
              <w:rPr>
                <w:sz w:val="18"/>
              </w:rPr>
              <w:t>OP</w:t>
            </w:r>
          </w:p>
        </w:tc>
        <w:tc>
          <w:tcPr>
            <w:tcW w:type="dxa" w:w="1080"/>
          </w:tcPr>
          <w:p>
            <w:r>
              <w:rPr>
                <w:sz w:val="18"/>
              </w:rPr>
              <w:t>L1/L2/Infra</w:t>
            </w:r>
          </w:p>
        </w:tc>
        <w:tc>
          <w:tcPr>
            <w:tcW w:type="dxa" w:w="960"/>
          </w:tcPr>
          <w:p>
            <w:r>
              <w:rPr>
                <w:sz w:val="18"/>
              </w:rPr>
              <w:t>0.009</w:t>
            </w:r>
          </w:p>
        </w:tc>
        <w:tc>
          <w:tcPr>
            <w:tcW w:type="dxa" w:w="960"/>
          </w:tcPr>
          <w:p>
            <w:r>
              <w:rPr>
                <w:sz w:val="18"/>
              </w:rPr>
              <w:t>0.89</w:t>
            </w:r>
          </w:p>
        </w:tc>
        <w:tc>
          <w:tcPr>
            <w:tcW w:type="dxa" w:w="960"/>
          </w:tcPr>
          <w:p>
            <w:r>
              <w:rPr>
                <w:sz w:val="18"/>
              </w:rPr>
              <w:t>12.1%¶</w:t>
            </w:r>
          </w:p>
        </w:tc>
        <w:tc>
          <w:tcPr>
            <w:tcW w:type="dxa" w:w="1080"/>
          </w:tcPr>
          <w:p>
            <w:pPr/>
            <w:del w:id="1037" w:author="Zach Zukowski (R1 revision)" w:date="2026-05-10T00:00:00Z">
              <w:r>
                <w:rPr>
                  <w:strike w:val="true"/>
                  <w:color w:val="C00000"/>
                </w:rPr>
                <w:delText xml:space="preserve">60.8%</w:delText>
              </w:r>
            </w:del>
            <w:ins w:id="1038" w:author="Zach Zukowski (R1 revision)" w:date="2026-05-10T00:00:00Z">
              <w:r>
                <w:rPr>
                  <w:color w:val="0070C0"/>
                </w:rPr>
                <w:t xml:space="preserve">29.6%¶</w:t>
              </w:r>
            </w:ins>
          </w:p>
        </w:tc>
        <w:tc>
          <w:tcPr>
            <w:tcW w:type="dxa" w:w="1500"/>
          </w:tcPr>
          <w:p>
            <w:r>
              <w:rPr>
                <w:sz w:val="18"/>
              </w:rPr>
              <w:t>1000</w:t>
            </w:r>
          </w:p>
        </w:tc>
      </w:tr>
      <w:tr>
        <w:tc>
          <w:tcPr>
            <w:tcW w:type="dxa" w:w="1620"/>
          </w:tcPr>
          <w:p>
            <w:r>
              <w:rPr>
                <w:sz w:val="18"/>
              </w:rPr>
              <w:t>ENS</w:t>
            </w:r>
          </w:p>
        </w:tc>
        <w:tc>
          <w:tcPr>
            <w:tcW w:type="dxa" w:w="1200"/>
          </w:tcPr>
          <w:p>
            <w:r>
              <w:rPr>
                <w:sz w:val="18"/>
              </w:rPr>
              <w:t>ENS</w:t>
            </w:r>
          </w:p>
        </w:tc>
        <w:tc>
          <w:tcPr>
            <w:tcW w:type="dxa" w:w="1080"/>
          </w:tcPr>
          <w:p>
            <w:r>
              <w:rPr>
                <w:sz w:val="18"/>
              </w:rPr>
              <w:t>L1/L2/Infra</w:t>
            </w:r>
          </w:p>
        </w:tc>
        <w:tc>
          <w:tcPr>
            <w:tcW w:type="dxa" w:w="960"/>
          </w:tcPr>
          <w:p>
            <w:r>
              <w:rPr>
                <w:sz w:val="18"/>
              </w:rPr>
              <w:t>0.1345</w:t>
            </w:r>
          </w:p>
        </w:tc>
        <w:tc>
          <w:tcPr>
            <w:tcW w:type="dxa" w:w="960"/>
          </w:tcPr>
          <w:p>
            <w:r>
              <w:rPr>
                <w:sz w:val="18"/>
              </w:rPr>
              <w:t>0.94</w:t>
            </w:r>
          </w:p>
        </w:tc>
        <w:tc>
          <w:tcPr>
            <w:tcW w:type="dxa" w:w="960"/>
          </w:tcPr>
          <w:p>
            <w:r>
              <w:rPr>
                <w:sz w:val="18"/>
              </w:rPr>
              <w:t>26.7%</w:t>
            </w:r>
          </w:p>
        </w:tc>
        <w:tc>
          <w:tcPr>
            <w:tcW w:type="dxa" w:w="1080"/>
          </w:tcPr>
          <w:p>
            <w:r>
              <w:rPr>
                <w:sz w:val="18"/>
              </w:rPr>
              <w:t>75.5%</w:t>
            </w:r>
          </w:p>
        </w:tc>
        <w:tc>
          <w:tcPr>
            <w:tcW w:type="dxa" w:w="1500"/>
          </w:tcPr>
          <w:p>
            <w:r>
              <w:rPr>
                <w:sz w:val="18"/>
              </w:rPr>
              <w:t>999</w:t>
            </w:r>
          </w:p>
        </w:tc>
      </w:tr>
      <w:tr>
        <w:tc>
          <w:tcPr>
            <w:tcW w:type="dxa" w:w="1620"/>
          </w:tcPr>
          <w:p>
            <w:r>
              <w:rPr>
                <w:sz w:val="18"/>
              </w:rPr>
              <w:t>Token Engineering Commons ‡</w:t>
            </w:r>
          </w:p>
        </w:tc>
        <w:tc>
          <w:tcPr>
            <w:tcW w:type="dxa" w:w="1200"/>
          </w:tcPr>
          <w:p>
            <w:r>
              <w:rPr>
                <w:sz w:val="18"/>
              </w:rPr>
              <w:t>TEC</w:t>
            </w:r>
          </w:p>
        </w:tc>
        <w:tc>
          <w:tcPr>
            <w:tcW w:type="dxa" w:w="1080"/>
          </w:tcPr>
          <w:p>
            <w:r>
              <w:rPr>
                <w:sz w:val="18"/>
              </w:rPr>
              <w:t>Social</w:t>
            </w:r>
          </w:p>
        </w:tc>
        <w:tc>
          <w:tcPr>
            <w:tcW w:type="dxa" w:w="960"/>
          </w:tcPr>
          <w:p>
            <w:r>
              <w:rPr>
                <w:sz w:val="18"/>
              </w:rPr>
              <w:t>0.0278</w:t>
            </w:r>
          </w:p>
        </w:tc>
        <w:tc>
          <w:tcPr>
            <w:tcW w:type="dxa" w:w="960"/>
          </w:tcPr>
          <w:p>
            <w:r>
              <w:rPr>
                <w:sz w:val="18"/>
              </w:rPr>
              <w:t>0.91</w:t>
            </w:r>
          </w:p>
        </w:tc>
        <w:tc>
          <w:tcPr>
            <w:tcW w:type="dxa" w:w="960"/>
          </w:tcPr>
          <w:p>
            <w:r>
              <w:rPr>
                <w:sz w:val="18"/>
              </w:rPr>
              <w:t>9.2%</w:t>
            </w:r>
          </w:p>
        </w:tc>
        <w:tc>
          <w:tcPr>
            <w:tcW w:type="dxa" w:w="1080"/>
          </w:tcPr>
          <w:p>
            <w:r>
              <w:rPr>
                <w:sz w:val="18"/>
              </w:rPr>
              <w:t>44.2%</w:t>
            </w:r>
          </w:p>
        </w:tc>
        <w:tc>
          <w:tcPr>
            <w:tcW w:type="dxa" w:w="1500"/>
          </w:tcPr>
          <w:p>
            <w:r>
              <w:rPr>
                <w:sz w:val="18"/>
              </w:rPr>
              <w:t>742</w:t>
            </w:r>
          </w:p>
        </w:tc>
      </w:tr>
      <w:tr>
        <w:tc>
          <w:tcPr>
            <w:tcW w:type="dxa" w:w="1620"/>
          </w:tcPr>
          <w:p>
            <w:r>
              <w:rPr>
                <w:sz w:val="18"/>
              </w:rPr>
              <w:t>Gitcoin ‡</w:t>
            </w:r>
          </w:p>
        </w:tc>
        <w:tc>
          <w:tcPr>
            <w:tcW w:type="dxa" w:w="1200"/>
          </w:tcPr>
          <w:p>
            <w:r>
              <w:rPr>
                <w:sz w:val="18"/>
              </w:rPr>
              <w:t>GTC</w:t>
            </w:r>
          </w:p>
        </w:tc>
        <w:tc>
          <w:tcPr>
            <w:tcW w:type="dxa" w:w="1080"/>
          </w:tcPr>
          <w:p>
            <w:r>
              <w:rPr>
                <w:sz w:val="18"/>
              </w:rPr>
              <w:t>Social</w:t>
            </w:r>
          </w:p>
        </w:tc>
        <w:tc>
          <w:tcPr>
            <w:tcW w:type="dxa" w:w="960"/>
          </w:tcPr>
          <w:p>
            <w:r>
              <w:rPr>
                <w:sz w:val="18"/>
              </w:rPr>
              <w:t>0.0766</w:t>
            </w:r>
          </w:p>
        </w:tc>
        <w:tc>
          <w:tcPr>
            <w:tcW w:type="dxa" w:w="960"/>
          </w:tcPr>
          <w:p>
            <w:r>
              <w:rPr>
                <w:sz w:val="18"/>
              </w:rPr>
              <w:t>0.94</w:t>
            </w:r>
          </w:p>
        </w:tc>
        <w:tc>
          <w:tcPr>
            <w:tcW w:type="dxa" w:w="960"/>
          </w:tcPr>
          <w:p>
            <w:r>
              <w:rPr>
                <w:sz w:val="18"/>
              </w:rPr>
              <w:t>17.6%</w:t>
            </w:r>
          </w:p>
        </w:tc>
        <w:tc>
          <w:tcPr>
            <w:tcW w:type="dxa" w:w="1080"/>
          </w:tcPr>
          <w:p>
            <w:r>
              <w:rPr>
                <w:sz w:val="18"/>
              </w:rPr>
              <w:t>64.3%</w:t>
            </w:r>
          </w:p>
        </w:tc>
        <w:tc>
          <w:tcPr>
            <w:tcW w:type="dxa" w:w="1500"/>
          </w:tcPr>
          <w:p>
            <w:r>
              <w:rPr>
                <w:sz w:val="18"/>
              </w:rPr>
              <w:t>1000</w:t>
            </w:r>
          </w:p>
        </w:tc>
      </w:tr>
    </w:tbl>
    <w:p>
      <w:r>
        <w:rPr>
          <w:b/>
          <w:i/>
          <w:sz w:val="20"/>
        </w:rPr>
        <w:t xml:space="preserve">Table 4. </w:t>
      </w:r>
      <w:r>
        <w:rPr>
          <w:i/>
          <w:sz w:val="20"/>
        </w:rPr>
        <w: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t>
      </w:r>
    </w:p>
    <w:p>
      <w:pPr>
        <w:pStyle w:val="Normal"/>
        <w:rPr/>
        <w:rPr/>
      </w:pPr>
      <w:ins w:id="1048" w:author="Zach Zukowski (R1 revision)" w:date="2026-05-10T00:00:00Z">
        <w:r>
          <w:t xml:space="preserve">Table 4 footnotes:</w:t>
        </w:r>
      </w:ins>
    </w:p>
    <w:p>
      <w:pPr>
        <w:pStyle w:val="Normal"/>
        <w:rPr/>
        <w:rPr/>
      </w:pPr>
      <w:ins w:id="1048" w:author="Zach Zukowski (R1 revision)" w:date="2026-05-10T00:00:00Z">
        <w:r>
          <w:t xml:space="preserve">† = futarchy governance (MetaDAO).</w:t>
        </w:r>
      </w:ins>
    </w:p>
    <w:p>
      <w:pPr>
        <w:pStyle w:val="Normal"/>
        <w:rPr/>
        <w:rPr/>
      </w:pPr>
      <w:ins w:id="1048" w:author="Zach Zukowski (R1 revision)" w:date="2026-05-10T00:00:00Z">
        <w:r>
          <w:t xml:space="preserve">‡ (in protocol name column) = survivorship-bias control (TEC, Gitcoin).</w:t>
        </w:r>
      </w:ins>
    </w:p>
    <w:p>
      <w:pPr>
        <w:pStyle w:val="Normal"/>
        <w:rPr/>
        <w:rPr/>
      </w:pPr>
      <w:ins w:id="1048" w:author="Zach Zukowski (R1 revision)" w:date="2026-05-10T00:00:00Z">
        <w:r>
          <w:t xml:space="preserve">¶ (added in R1 revision) = updated post-exclusion value: HHI for Curve reflects raw CRV holdings (veCRV-weighted concentration is approximately 0.171 due to lock-duration multipliers); HHI for Uniswap reflects post-burn-rule exclusion of 0x000...dead (102.46M UNI, 11.27% of supply); Top-1% and Top-10% columns report post-exclusion shares for marked rows (AAVE, UNI, ARB, GRT, OP) per R1 reviewer methodological consistency request.</w:t>
        </w:r>
      </w:ins>
    </w:p>
    <w:p>
      <w:r>
        <w:rPr>
          <w:b w:val="0"/>
        </w:rPr>
        <w:t>HHI ranges from 0.005 to 0.199 across the full sample. Among DeFi governance tokens, HHI ranges from 0.005 (Hyperliquid, after excluding the Assistance Fund and burn addresses) to 0.171 (Curve). DePIN protocols span a similar range: 0.017 (Hivemapper) to 0.199 (Livepeer); Morpheus AI registers 0.031 after excluding four protocol-controlled addresses.</w:t>
      </w:r>
    </w:p>
    <w:p>
      <w:r>
        <w:rPr>
          <w:b w:val="0"/>
        </w:rPr>
        <w:t xml:space="preserve">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w:t>
      </w:r>
      <w:hyperlink r:id="rId23" w:history="1">
        <w:r>
          <w:rPr>
            <w:color w:val="0563C1"/>
            <w:u w:val="single"/>
          </w:rPr>
          <w:t xml:space="preserve">Supplementary File S6</w:t>
        </w:r>
      </w:hyperlink>
      <w:r>
        <w:rPr>
          <w:b w:val="0"/>
        </w:rPr>
        <w:t xml:space="preserve">) is particularly consequential for protocols with large foundation treasuries or exchange custodian addresses in the top-10 holders.</w:t>
      </w:r>
    </w:p>
    <w:p>
      <w:r>
        <w:rPr>
          <w:b w:val="0"/>
        </w:rPr>
        <w:t>Several protocols demonstrate that low governance concentration is achievable across sectors. Hyperliquid (HHI 0.005), Uniswap (0.010), and Lido (0.013) in DeFi; Optimism (0.009), Arbitrum (0.012), LayerZero (0.015), and Wormhole (0.015) in L1/L2 infrastructure; and Hivemapper (0.017)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 xml:space="preserve">3.3 DePIN vs. DeFi Contrast</w:t>
      </w:r>
    </w:p>
    <w:p>
      <w:r>
        <w:rPr>
          <w:b w:val="0"/>
        </w:rPr>
        <w:t xml:space="preserve">DePIN protocols have roughly twice the governance concentration of DeFi protocols (mean HHI 0.091 vs. 0.041; Mann-Whitney p = 0.014, Cohen’s d = 1.03, N = 15/15). The gap holds after adjusting for protocol age, valuation, and insider allocation (Table 6, Models 1-3).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r>
        <w:rPr>
          <w:b w:val="0"/>
        </w:rPr>
        <w:t>The sector difference is robust to sample composition: the Mann-Whitney result holds across all 30 leave-one-out (LOO) iterations, and a permutation test yields p = 0.009.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jc w:val="center"/>
      </w:pPr>
      <w:r>
        <w:drawing>
          <wp:inline distT="0" distB="0" distL="0" distR="0">
            <wp:extent cx="5943600" cy="6822885"/>
            <wp:docPr id="107" name="Figure 4"/>
            <a:graphic>
              <a:graphicData uri="http://schemas.openxmlformats.org/drawingml/2006/picture">
                <pic:pic>
                  <pic:nvPicPr>
                    <pic:cNvPr id="107" name="Figure 4"/>
                    <pic:cNvPicPr/>
                  </pic:nvPicPr>
                  <pic:blipFill>
                    <a:blip r:embed="rId16"/>
                    <a:stretch>
                      <a:fillRect/>
                    </a:stretch>
                  </pic:blipFill>
                  <pic:spPr>
                    <a:xfrm>
                      <a:off x="0" y="0"/>
                      <a:ext cx="5943600" cy="6822885"/>
                    </a:xfrm>
                    <a:prstGeom prst="rect">
                      <a:avLst/>
                    </a:prstGeom>
                  </pic:spPr>
                </pic:pic>
              </a:graphicData>
            </a:graphic>
          </wp:inline>
        </w:drawing>
      </w:r>
    </w:p>
    <w:p>
      <w:r>
        <w:rPr>
          <w:b/>
          <w:i/>
          <w:sz w:val="20"/>
        </w:rPr>
        <w:t xml:space="preserve">Figure 4. </w:t>
      </w:r>
      <w:r>
        <w:rPr>
          <w:i/>
          <w:sz w:val="20"/>
        </w:rPr>
        <w: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w:t>
      </w:r>
      <w:ins w:id="1057" w:author="Zach Zukowski (R1 revision)" w:date="2026-05-10T00:00:00Z">
        <w:r>
          <w:rPr>
            <w:color w:val="0070C0"/>
          </w:rPr>
          <w:t xml:space="preserve"> Reading the figure: box plots show concentration distribution within each sector; the DePIN-DeFi gap is visible in median position despite tail overlap.</w:t>
        </w:r>
      </w:ins>
    </w:p>
    <w:p>
      <w:r>
        <w:rPr>
          <w:b w:val="0"/>
        </w:rPr>
        <w:t xml:space="preserve">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3.4), suggesting that the distribution design channel operates through qualitative mechanisms not captured by the allocation percentage alone. The Anyone Protocol counterexample supports this interpretation: its low concentration (HHI 0.040) is consistent with governance mechanism choices (delegation incentives, activity-based caps, distribution schedule structure) that most DePIN protocols have not adopted.</w:t>
      </w:r>
    </w:p>
    <w:p>
      <w:r>
        <w:rPr>
          <w:b w:val="0"/>
        </w:rPr>
        <w:t>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r>
        <w:t>distribution-broadening mechanisms entirely. The governance concentration patterns in Table 4 may reflect distribution mechanism design operating through the sector channel: Table 6 shows DePIN membership predicts concentration at p &lt; 0.05 after adjusting for protocol age, valuation, and insider allocation. However, the regression null on insider allocation (Section 3.4)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2"/>
      </w:pPr>
      <w:r>
        <w:t xml:space="preserve">3.4 Allocation Design and Post-Distribution Dynamics</w:t>
      </w:r>
    </w:p>
    <w:p>
      <w:pPr>
        <w:pStyle w:val="Normal"/>
        <w:rPr/>
        <w:rPr/>
      </w:pPr>
      <w:ins w:id="1039" w:author="Zach Zukowski (R1 revision)" w:date="2026-05-10T00:00:00Z">
        <w:r>
          <w:t xml:space="preserve">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t>
        </w:r>
      </w:ins>
    </w:p>
    <w:p>
      <w:r>
        <w:rPr>
          <w:b w:val="0"/>
        </w:rPr>
        <w:t>Initial token allocation design does not predict governance concentration. The percentage of total supply allocated to team and investors at launch shows no significant association with post-distribution HHI (Pearson r = 0.18, p = 0.28, N = 37; Spearman rho = 0.07, p = 0.69). This null persists across alternative specifications: token unlock progress, float-adjusted concentration, and the interaction of allocation with protocol maturity all produce coefficients indistinguishable from zero (Table 6, Models 1 through 3; Table 5 summarizes the bivariate battery). Statistically Validated Network analysis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2400"/>
        <w:gridCol w:w="1300"/>
        <w:gridCol w:w="1000"/>
        <w:gridCol w:w="1000"/>
        <w:gridCol w:w="540"/>
        <w:gridCol w:w="3120"/>
      </w:tblGrid>
      <w:tr>
        <w:trPr>
          <w:cantSplit/>
        </w:trPr>
        <w:tc>
          <w:tcPr>
            <w:tcW w:type="dxa" w:w="2400"/>
            <w:shd w:val="clear" w:fill="F2F2F2"/>
          </w:tcPr>
          <w:p>
            <w:r>
              <w:rPr>
                <w:b/>
                <w:sz w:val="18"/>
              </w:rPr>
              <w:t xml:space="preserve">Covariate</w:t>
            </w:r>
          </w:p>
        </w:tc>
        <w:tc>
          <w:tcPr>
            <w:tcW w:type="dxa" w:w="1300"/>
            <w:shd w:val="clear" w:fill="F2F2F2"/>
          </w:tcPr>
          <w:p>
            <w:r>
              <w:rPr>
                <w:b/>
                <w:sz w:val="18"/>
              </w:rPr>
              <w:t xml:space="preserve">Test</w:t>
            </w:r>
          </w:p>
        </w:tc>
        <w:tc>
          <w:tcPr>
            <w:tcW w:type="dxa" w:w="1000"/>
            <w:shd w:val="clear" w:fill="F2F2F2"/>
          </w:tcPr>
          <w:p>
            <w:r>
              <w:rPr>
                <w:b/>
                <w:sz w:val="18"/>
              </w:rPr>
              <w:t xml:space="preserve">Statistic</w:t>
            </w:r>
          </w:p>
        </w:tc>
        <w:tc>
          <w:tcPr>
            <w:tcW w:type="dxa" w:w="1000"/>
            <w:shd w:val="clear" w:fill="F2F2F2"/>
          </w:tcPr>
          <w:p>
            <w:r>
              <w:rPr>
                <w:b/>
                <w:sz w:val="18"/>
              </w:rPr>
              <w:t xml:space="preserve">p</w:t>
            </w:r>
          </w:p>
        </w:tc>
        <w:tc>
          <w:tcPr>
            <w:tcW w:type="dxa" w:w="540"/>
            <w:shd w:val="clear" w:fill="F2F2F2"/>
          </w:tcPr>
          <w:p>
            <w:r>
              <w:rPr>
                <w:b/>
                <w:sz w:val="18"/>
              </w:rPr>
              <w:t xml:space="preserve">N</w:t>
            </w:r>
          </w:p>
        </w:tc>
        <w:tc>
          <w:tcPr>
            <w:tcW w:type="dxa" w:w="3120"/>
            <w:shd w:val="clear" w:fill="F2F2F2"/>
          </w:tcPr>
          <w:p>
            <w:r>
              <w:rPr>
                <w:b/>
                <w:sz w:val="18"/>
              </w:rPr>
              <w:t xml:space="preserve">Status</w:t>
            </w:r>
          </w:p>
        </w:tc>
      </w:tr>
      <w:tr>
        <w:trPr>
          <w:cantSplit/>
        </w:trPr>
        <w:tc>
          <w:tcPr>
            <w:tcW w:type="dxa" w:w="2400"/>
          </w:tcPr>
          <w:p>
            <w:r>
              <w:rPr>
                <w:sz w:val="18"/>
              </w:rPr>
              <w:t xml:space="preserve">Insider allocation (%)</w:t>
            </w:r>
          </w:p>
        </w:tc>
        <w:tc>
          <w:tcPr>
            <w:tcW w:type="dxa" w:w="1300"/>
          </w:tcPr>
          <w:p>
            <w:r>
              <w:rPr>
                <w:sz w:val="18"/>
              </w:rPr>
              <w:t xml:space="preserve">Pearson r</w:t>
            </w:r>
          </w:p>
        </w:tc>
        <w:tc>
          <w:tcPr>
            <w:tcW w:type="dxa" w:w="1000"/>
          </w:tcPr>
          <w:p>
            <w:r>
              <w:rPr>
                <w:sz w:val="18"/>
              </w:rPr>
              <w:t xml:space="preserve">0.19</w:t>
            </w:r>
          </w:p>
        </w:tc>
        <w:tc>
          <w:tcPr>
            <w:tcW w:type="dxa" w:w="1000"/>
          </w:tcPr>
          <w:p>
            <w:r>
              <w:rPr>
                <w:sz w:val="18"/>
              </w:rPr>
              <w:t xml:space="preserve">0.25</w:t>
            </w:r>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Team allocation (%)</w:t>
            </w:r>
          </w:p>
        </w:tc>
        <w:tc>
          <w:tcPr>
            <w:tcW w:type="dxa" w:w="1300"/>
          </w:tcPr>
          <w:p>
            <w:r>
              <w:rPr>
                <w:sz w:val="18"/>
              </w:rPr>
              <w:t xml:space="preserve">Pearson r</w:t>
            </w:r>
          </w:p>
        </w:tc>
        <w:tc>
          <w:tcPr>
            <w:tcW w:type="dxa" w:w="1000"/>
          </w:tcPr>
          <w:p>
            <w:pPr/>
            <w:del w:id="1001" w:author="Zach Zukowski (R1 revision)" w:date="2026-05-10T00:00:00Z">
              <w:r>
                <w:rPr>
                  <w:strike w:val="true"/>
                  <w:color w:val="C00000"/>
                </w:rPr>
                <w:delText xml:space="preserve">−0.13</w:delText>
              </w:r>
            </w:del>
            <w:ins w:id="1002" w:author="Zach Zukowski (R1 revision)" w:date="2026-05-10T00:00:00Z">
              <w:r>
                <w:rPr>
                  <w:color w:val="0070C0"/>
                </w:rPr>
                <w:t xml:space="preserve">0.20</w:t>
              </w:r>
            </w:ins>
          </w:p>
        </w:tc>
        <w:tc>
          <w:tcPr>
            <w:tcW w:type="dxa" w:w="1000"/>
          </w:tcPr>
          <w:p>
            <w:pPr/>
            <w:del w:id="1003" w:author="Zach Zukowski (R1 revision)" w:date="2026-05-10T00:00:00Z">
              <w:r>
                <w:rPr>
                  <w:strike w:val="true"/>
                  <w:color w:val="C00000"/>
                </w:rPr>
                <w:delText xml:space="preserve">0.46</w:delText>
              </w:r>
            </w:del>
            <w:ins w:id="1004" w:author="Zach Zukowski (R1 revision)" w:date="2026-05-10T00:00:00Z">
              <w:r>
                <w:rPr>
                  <w:color w:val="0070C0"/>
                </w:rPr>
                <w:t xml:space="preserve">0.224</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Investor allocation (%)</w:t>
            </w:r>
          </w:p>
        </w:tc>
        <w:tc>
          <w:tcPr>
            <w:tcW w:type="dxa" w:w="1300"/>
          </w:tcPr>
          <w:p>
            <w:r>
              <w:rPr>
                <w:sz w:val="18"/>
              </w:rPr>
              <w:t xml:space="preserve">Pearson r</w:t>
            </w:r>
          </w:p>
        </w:tc>
        <w:tc>
          <w:tcPr>
            <w:tcW w:type="dxa" w:w="1000"/>
          </w:tcPr>
          <w:p>
            <w:pPr/>
            <w:del w:id="1005" w:author="Zach Zukowski (R1 revision)" w:date="2026-05-10T00:00:00Z">
              <w:r>
                <w:rPr>
                  <w:strike w:val="true"/>
                  <w:color w:val="C00000"/>
                </w:rPr>
                <w:delText xml:space="preserve">+0.26</w:delText>
              </w:r>
            </w:del>
            <w:ins w:id="1006" w:author="Zach Zukowski (R1 revision)" w:date="2026-05-10T00:00:00Z">
              <w:r>
                <w:rPr>
                  <w:color w:val="0070C0"/>
                </w:rPr>
                <w:t xml:space="preserve">0.09</w:t>
              </w:r>
            </w:ins>
          </w:p>
        </w:tc>
        <w:tc>
          <w:tcPr>
            <w:tcW w:type="dxa" w:w="1000"/>
          </w:tcPr>
          <w:p>
            <w:pPr/>
            <w:del w:id="1007" w:author="Zach Zukowski (R1 revision)" w:date="2026-05-10T00:00:00Z">
              <w:r>
                <w:rPr>
                  <w:strike w:val="true"/>
                  <w:color w:val="C00000"/>
                </w:rPr>
                <w:delText xml:space="preserve">0.14</w:delText>
              </w:r>
            </w:del>
            <w:ins w:id="1008" w:author="Zach Zukowski (R1 revision)" w:date="2026-05-10T00:00:00Z">
              <w:r>
                <w:rPr>
                  <w:color w:val="0070C0"/>
                </w:rPr>
                <w:t xml:space="preserve">0.596</w:t>
              </w:r>
            </w:ins>
          </w:p>
        </w:tc>
        <w:tc>
          <w:tcPr>
            <w:tcW w:type="dxa" w:w="540"/>
          </w:tcPr>
          <w:p>
            <w:r>
              <w:rPr>
                <w:sz w:val="18"/>
              </w:rPr>
              <w:t xml:space="preserve">37</w:t>
            </w:r>
          </w:p>
        </w:tc>
        <w:tc>
          <w:tcPr>
            <w:tcW w:type="dxa" w:w="3120"/>
          </w:tcPr>
          <w:p>
            <w:r>
              <w:rPr>
                <w:sz w:val="18"/>
              </w:rPr>
              <w:t xml:space="preserve">Null</w:t>
            </w:r>
          </w:p>
        </w:tc>
      </w:tr>
      <w:tr>
        <w:trPr>
          <w:cantSplit/>
        </w:trPr>
        <w:tc>
          <w:tcPr>
            <w:tcW w:type="dxa" w:w="2400"/>
          </w:tcPr>
          <w:p>
            <w:r>
              <w:rPr>
                <w:sz w:val="18"/>
              </w:rPr>
              <w:t xml:space="preserve">Protocol maturity (years)</w:t>
            </w:r>
          </w:p>
        </w:tc>
        <w:tc>
          <w:tcPr>
            <w:tcW w:type="dxa" w:w="1300"/>
          </w:tcPr>
          <w:p>
            <w:r>
              <w:rPr>
                <w:sz w:val="18"/>
              </w:rPr>
              <w:t xml:space="preserve">Pearson r</w:t>
            </w:r>
          </w:p>
        </w:tc>
        <w:tc>
          <w:tcPr>
            <w:tcW w:type="dxa" w:w="1000"/>
          </w:tcPr>
          <w:p>
            <w:pPr/>
            <w:del w:id="1009" w:author="Zach Zukowski (R1 revision)" w:date="2026-05-10T00:00:00Z">
              <w:r>
                <w:rPr>
                  <w:strike w:val="true"/>
                  <w:color w:val="C00000"/>
                </w:rPr>
                <w:delText xml:space="preserve">+0.12</w:delText>
              </w:r>
            </w:del>
            <w:ins w:id="1010" w:author="Zach Zukowski (R1 revision)" w:date="2026-05-10T00:00:00Z">
              <w:r>
                <w:rPr>
                  <w:color w:val="0070C0"/>
                </w:rPr>
                <w:t xml:space="preserve">0.01</w:t>
              </w:r>
            </w:ins>
          </w:p>
        </w:tc>
        <w:tc>
          <w:tcPr>
            <w:tcW w:type="dxa" w:w="1000"/>
          </w:tcPr>
          <w:p>
            <w:pPr/>
            <w:del w:id="1011" w:author="Zach Zukowski (R1 revision)" w:date="2026-05-10T00:00:00Z">
              <w:r>
                <w:rPr>
                  <w:strike w:val="true"/>
                  <w:color w:val="C00000"/>
                </w:rPr>
                <w:delText xml:space="preserve">0.51</w:delText>
              </w:r>
            </w:del>
            <w:ins w:id="1012" w:author="Zach Zukowski (R1 revision)" w:date="2026-05-10T00:00:00Z">
              <w:r>
                <w:rPr>
                  <w:color w:val="0070C0"/>
                </w:rPr>
                <w:t xml:space="preserve">0.957</w:t>
              </w:r>
            </w:ins>
          </w:p>
        </w:tc>
        <w:tc>
          <w:tcPr>
            <w:tcW w:type="dxa" w:w="540"/>
          </w:tcPr>
          <w:p>
            <w:pPr/>
            <w:del w:id="1013" w:author="Zach Zukowski (R1 revision)" w:date="2026-05-10T00:00:00Z">
              <w:r>
                <w:rPr>
                  <w:strike w:val="true"/>
                  <w:color w:val="C00000"/>
                </w:rPr>
                <w:delText xml:space="preserve">37</w:delText>
              </w:r>
            </w:del>
            <w:ins w:id="1014" w:author="Zach Zukowski (R1 revision)" w:date="2026-05-10T00:00:00Z">
              <w:r>
                <w:rPr>
                  <w:color w:val="0070C0"/>
                </w:rPr>
                <w:t xml:space="preserve">40</w:t>
              </w:r>
            </w:ins>
          </w:p>
        </w:tc>
        <w:tc>
          <w:tcPr>
            <w:tcW w:type="dxa" w:w="3120"/>
          </w:tcPr>
          <w:p>
            <w:r>
              <w:rPr>
                <w:sz w:val="18"/>
              </w:rPr>
              <w:t xml:space="preserve">Null</w:t>
            </w:r>
          </w:p>
        </w:tc>
      </w:tr>
      <w:tr>
        <w:trPr>
          <w:cantSplit/>
        </w:trPr>
        <w:tc>
          <w:tcPr>
            <w:tcW w:type="dxa" w:w="2400"/>
          </w:tcPr>
          <w:p>
            <w:r>
              <w:rPr>
                <w:sz w:val="18"/>
              </w:rPr>
              <w:t xml:space="preserve">Circ/total supply ratio</w:t>
            </w:r>
          </w:p>
        </w:tc>
        <w:tc>
          <w:tcPr>
            <w:tcW w:type="dxa" w:w="1300"/>
          </w:tcPr>
          <w:p>
            <w:r>
              <w:rPr>
                <w:sz w:val="18"/>
              </w:rPr>
              <w:t xml:space="preserve">Pearson r</w:t>
            </w:r>
          </w:p>
        </w:tc>
        <w:tc>
          <w:tcPr>
            <w:tcW w:type="dxa" w:w="1000"/>
          </w:tcPr>
          <w:p>
            <w:r>
              <w:rPr>
                <w:sz w:val="18"/>
              </w:rPr>
              <w:t xml:space="preserve">0.03</w:t>
            </w:r>
          </w:p>
        </w:tc>
        <w:tc>
          <w:tcPr>
            <w:tcW w:type="dxa" w:w="1000"/>
          </w:tcPr>
          <w:p>
            <w:r>
              <w:rPr>
                <w:sz w:val="18"/>
              </w:rPr>
              <w:t xml:space="preserve">0.86</w:t>
            </w:r>
          </w:p>
        </w:tc>
        <w:tc>
          <w:tcPr>
            <w:tcW w:type="dxa" w:w="540"/>
          </w:tcPr>
          <w:p>
            <w:r>
              <w:rPr>
                <w:sz w:val="18"/>
              </w:rPr>
              <w:t xml:space="preserve">31</w:t>
            </w:r>
          </w:p>
        </w:tc>
        <w:tc>
          <w:tcPr>
            <w:tcW w:type="dxa" w:w="3120"/>
          </w:tcPr>
          <w:p>
            <w:r>
              <w:rPr>
                <w:sz w:val="18"/>
              </w:rPr>
              <w:t xml:space="preserve">Null</w:t>
            </w:r>
          </w:p>
        </w:tc>
      </w:tr>
      <w:tr>
        <w:trPr>
          <w:cantSplit/>
        </w:trPr>
        <w:tc>
          <w:tcPr>
            <w:tcW w:type="dxa" w:w="2400"/>
          </w:tcPr>
          <w:p>
            <w:r>
              <w:rPr>
                <w:sz w:val="18"/>
              </w:rPr>
              <w:t xml:space="preserve">MCap/FDV ratio</w:t>
            </w:r>
          </w:p>
        </w:tc>
        <w:tc>
          <w:tcPr>
            <w:tcW w:type="dxa" w:w="1300"/>
          </w:tcPr>
          <w:p>
            <w:r>
              <w:rPr>
                <w:sz w:val="18"/>
              </w:rPr>
              <w:t xml:space="preserve">Pearson r</w:t>
            </w:r>
          </w:p>
        </w:tc>
        <w:tc>
          <w:tcPr>
            <w:tcW w:type="dxa" w:w="1000"/>
          </w:tcPr>
          <w:p>
            <w:r>
              <w:rPr>
                <w:sz w:val="18"/>
              </w:rPr>
              <w:t xml:space="preserve">0.01</w:t>
            </w:r>
          </w:p>
        </w:tc>
        <w:tc>
          <w:tcPr>
            <w:tcW w:type="dxa" w:w="1000"/>
          </w:tcPr>
          <w:p>
            <w:r>
              <w:rPr>
                <w:sz w:val="18"/>
              </w:rPr>
              <w:t xml:space="preserve">0.96</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Exclusion-adjusted float</w:t>
            </w:r>
          </w:p>
        </w:tc>
        <w:tc>
          <w:tcPr>
            <w:tcW w:type="dxa" w:w="1300"/>
          </w:tcPr>
          <w:p>
            <w:r>
              <w:rPr>
                <w:sz w:val="18"/>
              </w:rPr>
              <w:t xml:space="preserve">Pearson r</w:t>
            </w:r>
          </w:p>
        </w:tc>
        <w:tc>
          <w:tcPr>
            <w:tcW w:type="dxa" w:w="1000"/>
          </w:tcPr>
          <w:p>
            <w:r>
              <w:rPr>
                <w:sz w:val="18"/>
              </w:rPr>
              <w:t xml:space="preserve">−0.003</w:t>
            </w:r>
          </w:p>
        </w:tc>
        <w:tc>
          <w:tcPr>
            <w:tcW w:type="dxa" w:w="1000"/>
          </w:tcPr>
          <w:p>
            <w:r>
              <w:rPr>
                <w:sz w:val="18"/>
              </w:rPr>
              <w:t xml:space="preserve">0.99</w:t>
            </w:r>
          </w:p>
        </w:tc>
        <w:tc>
          <w:tcPr>
            <w:tcW w:type="dxa" w:w="540"/>
          </w:tcPr>
          <w:p>
            <w:r>
              <w:rPr>
                <w:sz w:val="18"/>
              </w:rPr>
              <w:t xml:space="preserve">30</w:t>
            </w:r>
          </w:p>
        </w:tc>
        <w:tc>
          <w:tcPr>
            <w:tcW w:type="dxa" w:w="3120"/>
          </w:tcPr>
          <w:p>
            <w:r>
              <w:rPr>
                <w:sz w:val="18"/>
              </w:rPr>
              <w:t xml:space="preserve">Null</w:t>
            </w:r>
          </w:p>
        </w:tc>
      </w:tr>
      <w:tr>
        <w:trPr>
          <w:cantSplit/>
        </w:trPr>
        <w:tc>
          <w:tcPr>
            <w:tcW w:type="dxa" w:w="2400"/>
          </w:tcPr>
          <w:p>
            <w:r>
              <w:rPr>
                <w:sz w:val="18"/>
              </w:rPr>
              <w:t xml:space="preserve">Insider count fraction (top-10)</w:t>
            </w:r>
          </w:p>
        </w:tc>
        <w:tc>
          <w:tcPr>
            <w:tcW w:type="dxa" w:w="1300"/>
          </w:tcPr>
          <w:p>
            <w:r>
              <w:rPr>
                <w:sz w:val="18"/>
              </w:rPr>
              <w:t xml:space="preserve">Spearman ρ</w:t>
            </w:r>
          </w:p>
        </w:tc>
        <w:tc>
          <w:tcPr>
            <w:tcW w:type="dxa" w:w="1000"/>
          </w:tcPr>
          <w:p>
            <w:r>
              <w:rPr>
                <w:sz w:val="18"/>
              </w:rPr>
              <w:t xml:space="preserve">0.44</w:t>
            </w:r>
          </w:p>
        </w:tc>
        <w:tc>
          <w:tcPr>
            <w:tcW w:type="dxa" w:w="1000"/>
          </w:tcPr>
          <w:p>
            <w:r>
              <w:rPr>
                <w:sz w:val="18"/>
              </w:rPr>
              <w:t xml:space="preserve">0.005</w:t>
            </w:r>
          </w:p>
        </w:tc>
        <w:tc>
          <w:tcPr>
            <w:tcW w:type="dxa" w:w="540"/>
          </w:tcPr>
          <w:p>
            <w:r>
              <w:rPr>
                <w:sz w:val="18"/>
              </w:rPr>
              <w:t xml:space="preserve">39</w:t>
            </w:r>
          </w:p>
        </w:tc>
        <w:tc>
          <w:tcPr>
            <w:tcW w:type="dxa" w:w="3120"/>
          </w:tcPr>
          <w:p>
            <w:r>
              <w:rPr>
                <w:sz w:val="18"/>
              </w:rPr>
              <w:t xml:space="preserve">Significant*</w:t>
            </w:r>
          </w:p>
        </w:tc>
      </w:tr>
      <w:tr>
        <w:trPr>
          <w:cantSplit/>
        </w:trPr>
        <w:tc>
          <w:tcPr>
            <w:tcW w:type="dxa" w:w="2400"/>
          </w:tcPr>
          <w:p>
            <w:r>
              <w:rPr>
                <w:sz w:val="18"/>
              </w:rPr>
              <w:t xml:space="preserve">Non-insider HHI, V1 (count)</w:t>
            </w:r>
          </w:p>
        </w:tc>
        <w:tc>
          <w:tcPr>
            <w:tcW w:type="dxa" w:w="1300"/>
          </w:tcPr>
          <w:p>
            <w:r>
              <w:rPr>
                <w:sz w:val="18"/>
              </w:rPr>
              <w:t xml:space="preserve">Spearman ρ</w:t>
            </w:r>
          </w:p>
        </w:tc>
        <w:tc>
          <w:tcPr>
            <w:tcW w:type="dxa" w:w="1000"/>
          </w:tcPr>
          <w:p>
            <w:r>
              <w:rPr>
                <w:sz w:val="18"/>
              </w:rPr>
              <w:t xml:space="preserve">0.54</w:t>
            </w:r>
          </w:p>
        </w:tc>
        <w:tc>
          <w:tcPr>
            <w:tcW w:type="dxa" w:w="1000"/>
          </w:tcPr>
          <w:p>
            <w:r>
              <w:rPr>
                <w:sz w:val="18"/>
              </w:rPr>
              <w:t xml:space="preserve">0.001</w:t>
            </w:r>
          </w:p>
        </w:tc>
        <w:tc>
          <w:tcPr>
            <w:tcW w:type="dxa" w:w="540"/>
          </w:tcPr>
          <w:p>
            <w:r>
              <w:rPr>
                <w:sz w:val="18"/>
              </w:rPr>
              <w:t xml:space="preserve">34</w:t>
            </w:r>
          </w:p>
        </w:tc>
        <w:tc>
          <w:tcPr>
            <w:tcW w:type="dxa" w:w="3120"/>
          </w:tcPr>
          <w:p>
            <w:r>
              <w:rPr>
                <w:sz w:val="18"/>
              </w:rPr>
              <w:t xml:space="preserve">Tautology-checked</w:t>
            </w:r>
          </w:p>
        </w:tc>
      </w:tr>
      <w:tr>
        <w:trPr>
          <w:cantSplit/>
        </w:trPr>
        <w:tc>
          <w:tcPr>
            <w:tcW w:type="dxa" w:w="2400"/>
          </w:tcPr>
          <w:p>
            <w:r>
              <w:rPr>
                <w:sz w:val="18"/>
              </w:rPr>
              <w:t xml:space="preserve">Non-insider HHI, V2 (balance)</w:t>
            </w:r>
          </w:p>
        </w:tc>
        <w:tc>
          <w:tcPr>
            <w:tcW w:type="dxa" w:w="1300"/>
          </w:tcPr>
          <w:p>
            <w:r>
              <w:rPr>
                <w:sz w:val="18"/>
              </w:rPr>
              <w:t xml:space="preserve">Spearman ρ</w:t>
            </w:r>
          </w:p>
        </w:tc>
        <w:tc>
          <w:tcPr>
            <w:tcW w:type="dxa" w:w="1000"/>
          </w:tcPr>
          <w:p>
            <w:r>
              <w:rPr>
                <w:sz w:val="18"/>
              </w:rPr>
              <w:t xml:space="preserve">0.33</w:t>
            </w:r>
          </w:p>
        </w:tc>
        <w:tc>
          <w:tcPr>
            <w:tcW w:type="dxa" w:w="1000"/>
          </w:tcPr>
          <w:p>
            <w:r>
              <w:rPr>
                <w:sz w:val="18"/>
              </w:rPr>
              <w:t xml:space="preserve">0.060</w:t>
            </w:r>
          </w:p>
        </w:tc>
        <w:tc>
          <w:tcPr>
            <w:tcW w:type="dxa" w:w="540"/>
          </w:tcPr>
          <w:p>
            <w:r>
              <w:rPr>
                <w:sz w:val="18"/>
              </w:rPr>
              <w:t xml:space="preserve">34</w:t>
            </w:r>
          </w:p>
        </w:tc>
        <w:tc>
          <w:tcPr>
            <w:tcW w:type="dxa" w:w="3120"/>
          </w:tcPr>
          <w:p>
            <w:r>
              <w:rPr>
                <w:sz w:val="18"/>
              </w:rPr>
              <w:t xml:space="preserve">Does not survive</w:t>
            </w:r>
          </w:p>
        </w:tc>
      </w:tr>
      <w:tr>
        <w:trPr>
          <w:cantSplit/>
        </w:trPr>
        <w:tc>
          <w:tcPr>
            <w:tcW w:type="dxa" w:w="2400"/>
          </w:tcPr>
          <w:p>
            <w:r>
              <w:rPr>
                <w:sz w:val="18"/>
              </w:rPr>
              <w:t xml:space="preserve">Subsidy ratio (cross-sector)</w:t>
            </w:r>
          </w:p>
        </w:tc>
        <w:tc>
          <w:tcPr>
            <w:tcW w:type="dxa" w:w="1300"/>
          </w:tcPr>
          <w:p>
            <w:r>
              <w:rPr>
                <w:sz w:val="18"/>
              </w:rPr>
              <w:t xml:space="preserve">Pearson r</w:t>
            </w:r>
          </w:p>
        </w:tc>
        <w:tc>
          <w:tcPr>
            <w:tcW w:type="dxa" w:w="1000"/>
          </w:tcPr>
          <w:p>
            <w:r>
              <w:rPr>
                <w:sz w:val="18"/>
              </w:rPr>
              <w:t xml:space="preserve">0.57</w:t>
            </w:r>
          </w:p>
        </w:tc>
        <w:tc>
          <w:tcPr>
            <w:tcW w:type="dxa" w:w="1000"/>
          </w:tcPr>
          <w:p>
            <w:pPr/>
            <w:del w:id="1015" w:author="Zach Zukowski (R1 revision)" w:date="2026-05-10T00:00:00Z">
              <w:r>
                <w:rPr>
                  <w:strike w:val="true"/>
                  <w:color w:val="C00000"/>
                </w:rPr>
                <w:delText xml:space="preserve">0.007</w:delText>
              </w:r>
            </w:del>
            <w:ins w:id="1016" w:author="Zach Zukowski (R1 revision)" w:date="2026-05-10T00:00:00Z">
              <w:r>
                <w:rPr>
                  <w:color w:val="0070C0"/>
                </w:rPr>
                <w:t xml:space="preserve">0.008</w:t>
              </w:r>
            </w:ins>
          </w:p>
        </w:tc>
        <w:tc>
          <w:tcPr>
            <w:tcW w:type="dxa" w:w="540"/>
          </w:tcPr>
          <w:p>
            <w:r>
              <w:rPr>
                <w:sz w:val="18"/>
              </w:rPr>
              <w:t xml:space="preserve">20</w:t>
            </w:r>
          </w:p>
        </w:tc>
        <w:tc>
          <w:tcPr>
            <w:tcW w:type="dxa" w:w="3120"/>
          </w:tcPr>
          <w:p>
            <w:r>
              <w:rPr>
                <w:sz w:val="18"/>
              </w:rPr>
              <w:t xml:space="preserve">Fragile (LPT-driven)</w:t>
            </w:r>
          </w:p>
        </w:tc>
      </w:tr>
      <w:tr>
        <w:trPr>
          <w:cantSplit/>
        </w:trPr>
        <w:tc>
          <w:tcPr>
            <w:tcW w:type="dxa" w:w="2400"/>
          </w:tcPr>
          <w:p>
            <w:r>
              <w:rPr>
                <w:sz w:val="18"/>
              </w:rPr>
              <w:t xml:space="preserve">Subsidy ratio (TT expanded)</w:t>
            </w:r>
          </w:p>
        </w:tc>
        <w:tc>
          <w:tcPr>
            <w:tcW w:type="dxa" w:w="1300"/>
          </w:tcPr>
          <w:p>
            <w:r>
              <w:rPr>
                <w:sz w:val="18"/>
              </w:rPr>
              <w:t xml:space="preserve">Pearson r</w:t>
            </w:r>
          </w:p>
        </w:tc>
        <w:tc>
          <w:tcPr>
            <w:tcW w:type="dxa" w:w="1000"/>
          </w:tcPr>
          <w:p>
            <w:r>
              <w:rPr>
                <w:sz w:val="18"/>
              </w:rPr>
              <w:t xml:space="preserve">0.10</w:t>
            </w:r>
          </w:p>
        </w:tc>
        <w:tc>
          <w:tcPr>
            <w:tcW w:type="dxa" w:w="1000"/>
          </w:tcPr>
          <w:p>
            <w:r>
              <w:rPr>
                <w:sz w:val="18"/>
              </w:rPr>
              <w:t xml:space="preserve">0.674</w:t>
            </w:r>
          </w:p>
        </w:tc>
        <w:tc>
          <w:tcPr>
            <w:tcW w:type="dxa" w:w="540"/>
          </w:tcPr>
          <w:p>
            <w:r>
              <w:rPr>
                <w:sz w:val="18"/>
              </w:rPr>
              <w:t xml:space="preserve">22</w:t>
            </w:r>
          </w:p>
        </w:tc>
        <w:tc>
          <w:tcPr>
            <w:tcW w:type="dxa" w:w="3120"/>
          </w:tcPr>
          <w:p>
            <w:r>
              <w:rPr>
                <w:sz w:val="18"/>
              </w:rPr>
              <w:t xml:space="preserve">Null (robustness check)</w:t>
            </w:r>
          </w:p>
        </w:tc>
      </w:tr>
      <w:tr>
        <w:trPr>
          <w:cantSplit/>
        </w:trPr>
        <w:tc>
          <w:tcPr>
            <w:tcW w:type="dxa" w:w="2400"/>
          </w:tcPr>
          <w:p>
            <w:r>
              <w:rPr>
                <w:sz w:val="18"/>
              </w:rPr>
              <w:t xml:space="preserve">Subsidy ratio (excl. Livepeer)</w:t>
            </w:r>
          </w:p>
        </w:tc>
        <w:tc>
          <w:tcPr>
            <w:tcW w:type="dxa" w:w="1300"/>
          </w:tcPr>
          <w:p>
            <w:r>
              <w:rPr>
                <w:sz w:val="18"/>
              </w:rPr>
              <w:t xml:space="preserve">Pearson r</w:t>
            </w:r>
          </w:p>
        </w:tc>
        <w:tc>
          <w:tcPr>
            <w:tcW w:type="dxa" w:w="1000"/>
          </w:tcPr>
          <w:p>
            <w:pPr/>
            <w:del w:id="1017" w:author="Zach Zukowski (R1 revision)" w:date="2026-05-10T00:00:00Z">
              <w:r>
                <w:rPr>
                  <w:strike w:val="true"/>
                  <w:color w:val="C00000"/>
                </w:rPr>
                <w:delText xml:space="preserve">+0.13</w:delText>
              </w:r>
            </w:del>
            <w:ins w:id="1018" w:author="Zach Zukowski (R1 revision)" w:date="2026-05-10T00:00:00Z">
              <w:r>
                <w:rPr>
                  <w:color w:val="0070C0"/>
                </w:rPr>
                <w:t xml:space="preserve">0.12</w:t>
              </w:r>
            </w:ins>
          </w:p>
        </w:tc>
        <w:tc>
          <w:tcPr>
            <w:tcW w:type="dxa" w:w="1000"/>
          </w:tcPr>
          <w:p>
            <w:pPr/>
            <w:del w:id="1019" w:author="Zach Zukowski (R1 revision)" w:date="2026-05-10T00:00:00Z">
              <w:r>
                <w:rPr>
                  <w:strike w:val="true"/>
                  <w:color w:val="C00000"/>
                </w:rPr>
                <w:delText xml:space="preserve">0.37</w:delText>
              </w:r>
            </w:del>
            <w:ins w:id="1020" w:author="Zach Zukowski (R1 revision)" w:date="2026-05-10T00:00:00Z">
              <w:r>
                <w:rPr>
                  <w:color w:val="0070C0"/>
                </w:rPr>
                <w:t xml:space="preserve">0.633</w:t>
              </w:r>
            </w:ins>
          </w:p>
        </w:tc>
        <w:tc>
          <w:tcPr>
            <w:tcW w:type="dxa" w:w="540"/>
          </w:tcPr>
          <w:p>
            <w:r>
              <w:rPr>
                <w:sz w:val="18"/>
              </w:rPr>
              <w:t xml:space="preserve">19</w:t>
            </w:r>
          </w:p>
        </w:tc>
        <w:tc>
          <w:tcPr>
            <w:tcW w:type="dxa" w:w="3120"/>
          </w:tcPr>
          <w:p>
            <w:r>
              <w:rPr>
                <w:sz w:val="18"/>
              </w:rPr>
              <w:t xml:space="preserve">Null</w:t>
            </w:r>
          </w:p>
        </w:tc>
      </w:tr>
      <w:tr>
        <w:trPr>
          <w:cantSplit/>
        </w:trPr>
        <w:tc>
          <w:tcPr>
            <w:tcW w:type="dxa" w:w="2400"/>
          </w:tcPr>
          <w:p>
            <w:r>
              <w:rPr>
                <w:sz w:val="18"/>
              </w:rPr>
              <w:t xml:space="preserve">DePIN sector (dummy)</w:t>
            </w:r>
          </w:p>
        </w:tc>
        <w:tc>
          <w:tcPr>
            <w:tcW w:type="dxa" w:w="1300"/>
          </w:tcPr>
          <w:p>
            <w:r>
              <w:rPr>
                <w:sz w:val="18"/>
              </w:rPr>
              <w:t xml:space="preserve">Mann-Whitney</w:t>
            </w:r>
          </w:p>
        </w:tc>
        <w:tc>
          <w:tcPr>
            <w:tcW w:type="dxa" w:w="1000"/>
          </w:tcPr>
          <w:p>
            <w:r>
              <w:rPr>
                <w:sz w:val="18"/>
              </w:rPr>
              <w:t xml:space="preserve">U=172</w:t>
            </w:r>
          </w:p>
        </w:tc>
        <w:tc>
          <w:tcPr>
            <w:tcW w:type="dxa" w:w="1000"/>
          </w:tcPr>
          <w:p>
            <w:r>
              <w:rPr>
                <w:sz w:val="18"/>
              </w:rPr>
              <w:t xml:space="preserve">0.014</w:t>
            </w:r>
          </w:p>
        </w:tc>
        <w:tc>
          <w:tcPr>
            <w:tcW w:type="dxa" w:w="540"/>
          </w:tcPr>
          <w:p>
            <w:r>
              <w:rPr>
                <w:sz w:val="18"/>
              </w:rPr>
              <w:t xml:space="preserve">30</w:t>
            </w:r>
          </w:p>
        </w:tc>
        <w:tc>
          <w:tcPr>
            <w:tcW w:type="dxa" w:w="3120"/>
          </w:tcPr>
          <w:p>
            <w:r>
              <w:rPr>
                <w:sz w:val="18"/>
              </w:rPr>
              <w:t xml:space="preserve">Robust (30/30 LOO)</w:t>
            </w:r>
          </w:p>
        </w:tc>
      </w:tr>
      <w:tr>
        <w:trPr>
          <w:cantSplit/>
        </w:trPr>
        <w:tc>
          <w:tcPr>
            <w:tcW w:type="dxa" w:w="2400"/>
          </w:tcPr>
          <w:p>
            <w:r>
              <w:rPr>
                <w:sz w:val="18"/>
              </w:rPr>
              <w:t xml:space="preserve">HHI-Gini</w:t>
            </w:r>
          </w:p>
        </w:tc>
        <w:tc>
          <w:tcPr>
            <w:tcW w:type="dxa" w:w="1300"/>
          </w:tcPr>
          <w:p>
            <w:r>
              <w:rPr>
                <w:sz w:val="18"/>
              </w:rPr>
              <w:t xml:space="preserve">Pearson r</w:t>
            </w:r>
          </w:p>
        </w:tc>
        <w:tc>
          <w:tcPr>
            <w:tcW w:type="dxa" w:w="1000"/>
          </w:tcPr>
          <w:p>
            <w:r>
              <w:rPr>
                <w:sz w:val="18"/>
              </w:rPr>
              <w:t xml:space="preserve">0.51</w:t>
            </w:r>
          </w:p>
        </w:tc>
        <w:tc>
          <w:tcPr>
            <w:tcW w:type="dxa" w:w="1000"/>
          </w:tcPr>
          <w:p>
            <w:r>
              <w:rPr>
                <w:sz w:val="18"/>
              </w:rPr>
              <w:t xml:space="preserve">&lt;0.001</w:t>
            </w:r>
          </w:p>
        </w:tc>
        <w:tc>
          <w:tcPr>
            <w:tcW w:type="dxa" w:w="540"/>
          </w:tcPr>
          <w:p>
            <w:r>
              <w:rPr>
                <w:sz w:val="18"/>
              </w:rPr>
              <w:t xml:space="preserve">40</w:t>
            </w:r>
          </w:p>
        </w:tc>
        <w:tc>
          <w:tcPr>
            <w:tcW w:type="dxa" w:w="3120"/>
          </w:tcPr>
          <w:p>
            <w:r>
              <w:rPr>
                <w:sz w:val="18"/>
              </w:rPr>
              <w:t xml:space="preserve">Significant</w:t>
            </w:r>
          </w:p>
        </w:tc>
      </w:tr>
    </w:tbl>
    <w:p>
      <w:r>
        <w:rPr>
          <w:b/>
          <w:i/>
          <w:sz w:val="20"/>
        </w:rPr>
        <w:t xml:space="preserve">Table 5. </w:t>
      </w:r>
      <w:r>
        <w:rPr>
          <w:i/>
          <w:sz w:val="20"/>
        </w:rPr>
        <w:t>Bivariate associations between protocol characteristics and governance concentration (HHI). Allocation, maturity, and float specifications are null. Insider wallet presence is significant but the balance-based measure does not survive a tautology check (Section 3.4). Subsidy is significant in levels but driven entirely by Livepeer (Section 3.7). * LOO-robust (39/39). MCap = market capitalization; FDV = fully diluted valuation.</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69 protocol-controlled addresses excluded from HHI computation. The 78 figure counts protocol-contract addresses across the top-10 holders of 39 tokens. The 69 figure counts excluded addresses across the top-1,000 holders of the 20 protocols where exclusions materially changed HHI. The samples and windows differ; the two numbers are not interchangeable.</w:t>
      </w:r>
    </w:p>
    <w:p>
      <w:r>
        <w:rPr>
          <w:b w:val="0"/>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The allocation null (Section 3.4) is also consistent with Michels’ (1911) observation that organizational complexity inevitably concentrates power in a specialized leadership class: early protocols’ commitment to governance minimization, the assumption that minimal on-chain rules would produce emergent decentralization 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r>
        <w:t>a pattern where concentrated insider presence attracts or coexists with concentrated non-insider holders, rather than insider balances alone inflating the metric.</w:t>
      </w:r>
    </w:p>
    <w:p>
      <w:pPr>
        <w:jc w:val="center"/>
      </w:pPr>
      <w:r>
        <w:drawing>
          <wp:inline distT="0" distB="0" distL="0" distR="0">
            <wp:extent cx="5029200" cy="3294093"/>
            <wp:docPr id="104" name="Figure 5"/>
            <a:graphic>
              <a:graphicData uri="http://schemas.openxmlformats.org/drawingml/2006/picture">
                <pic:pic>
                  <pic:nvPicPr>
                    <pic:cNvPr id="104" name="Figure 5"/>
                    <pic:cNvPicPr/>
                  </pic:nvPicPr>
                  <pic:blipFill>
                    <a:blip r:embed="rId12"/>
                    <a:stretch>
                      <a:fillRect/>
                    </a:stretch>
                  </pic:blipFill>
                  <pic:spPr>
                    <a:xfrm>
                      <a:off x="0" y="0"/>
                      <a:ext cx="5029200" cy="3294093"/>
                    </a:xfrm>
                    <a:prstGeom prst="rect">
                      <a:avLst/>
                    </a:prstGeom>
                  </pic:spPr>
                </pic:pic>
              </a:graphicData>
            </a:graphic>
          </wp:inline>
        </w:drawing>
      </w:r>
    </w:p>
    <w:p>
      <w:r>
        <w:rPr>
          <w:b/>
          <w:i/>
          <w:sz w:val="20"/>
        </w:rPr>
        <w:t xml:space="preserve">Figure 5. </w:t>
      </w:r>
      <w:r>
        <w:rPr>
          <w:i/>
          <w:sz w:val="20"/>
        </w:rPr>
        <w:t>Insider allocation (%) vs. corrected holding HHI for 37 regression-ready protocols. The null relationship (r = 0.18, p = 0.28) is the paper’s lead finding: initial allocation design does not predict post-distribution governance concentration.</w:t>
      </w:r>
      <w:ins w:id="1058" w:author="Zach Zukowski (R1 revision)" w:date="2026-05-10T00:00:00Z">
        <w:r>
          <w:rPr>
            <w:color w:val="0070C0"/>
          </w:rPr>
          <w:t xml:space="preserve"> Reading the figure: the absence of a downward slope is the finding; if insider allocation drove concentration we would expect a positive slope.</w:t>
        </w:r>
      </w:ins>
    </w:p>
    <w:p>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0.013 is the second-lowest, and Compound at 0.027 the third-lowest). Despite the most community-favorable distribution architecture in the sample, this single observation cannot establish a causal claim on its own. The cross-sectional null (Pearson r = 0.18, p = 0.28, N = 37) shows that protocols across the full range of allocation designs achieve comparable concentration levels, consistent with the finding that allocation design does not predict post-distribution concentration.</w:t>
      </w:r>
    </w:p>
    <w:p>
      <w:r>
        <w:rPr>
          <w:b w:val="0"/>
        </w:rPr>
        <w: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Normal"/>
      </w:pPr>
      <w:r>
        <w:t xml:space="preserve">The null pattern extends beyond allocation to financial sustainability more broadly. Three protocols with nearly identical subsidy ratios (DIMO at 0.33x, Aethir at 0.36x, Aave at 0.37x) exhibit governance HHI values of 0.038, 0.168, and 0.020 respectively. All three are revenue-dominant; their concentration spans the full range of the 40-protocol sample. Financial sustainability is neither necessary nor sufficient for governance decentralization.</w:t>
      </w:r>
    </w:p>
    <w:p>
      <w:pPr>
        <w:pStyle w:val="Normal"/>
      </w:pPr>
      <w:r>
        <w:t xml:space="preserve">Table 6 reports multivariate OLS regressions of HHI on protocol characteristics. The DePIN coefficient is positive and statistically significant in Models 1 and 2 (Model 1: 0.048, p = 0.012, N = 38; Model 2: 0.050, p = 0.027, N = 36) and borderline significant in Model 3 (0.048, p = 0.050, N = 35). No other covariate achieves p &lt; 0.10. In particular, the initial insider allocation percentage used as a Table 6 covariate is not significant, consistent with the bivariate null in Table 5. This is distinct from the current insider-retention measure reported in Section 3.4 (Spearman rho = 0.48), which counts how many of a protocol's top-10 holders are insiders rather than measuring the share of supply allocated to insiders at launch. The adjusted R-squared ranges from 0.14 to 0.17, indicating that sector membership accounts for more cross-sectional variation than protocol age, valuation, or allocation structure. The sample (N = 35 to 38 depending on specification) remains too small to reliably isolate independent effects; the pipeline specification (</w:t>
      </w:r>
      <w:hyperlink r:id="rId22" w:history="1">
        <w:r>
          <w:rPr>
            <w:color w:val="0563C1"/>
            <w:u w:val="single"/>
          </w:rPr>
          <w:t xml:space="preserve">Supplementary File S5</w:t>
        </w:r>
      </w:hyperlink>
      <w:r>
        <w:t xml:space="preserve">) documents the infrastructure for replication at larger sample sizes.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3360"/>
        <w:gridCol w:w="2000"/>
        <w:gridCol w:w="2000"/>
        <w:gridCol w:w="2000"/>
      </w:tblGrid>
      <w:tr>
        <w:tc>
          <w:tcPr>
            <w:tcW w:type="dxa" w:w="3360"/>
            <w:shd w:val="clear" w:fill="F2F2F2"/>
          </w:tcPr>
          <w:p>
            <w:r>
              <w:rPr>
                <w:b/>
                <w:sz w:val="18"/>
              </w:rPr>
              <w:t xml:space="preserve"/>
            </w:r>
          </w:p>
        </w:tc>
        <w:tc>
          <w:tcPr>
            <w:tcW w:type="dxa" w:w="2000"/>
            <w:shd w:val="clear" w:fill="F2F2F2"/>
          </w:tcPr>
          <w:p>
            <w:r>
              <w:rPr>
                <w:b/>
                <w:sz w:val="18"/>
              </w:rPr>
              <w:t xml:space="preserve">Model 1</w:t>
            </w:r>
          </w:p>
        </w:tc>
        <w:tc>
          <w:tcPr>
            <w:tcW w:type="dxa" w:w="2000"/>
            <w:shd w:val="clear" w:fill="F2F2F2"/>
          </w:tcPr>
          <w:p>
            <w:r>
              <w:rPr>
                <w:b/>
                <w:sz w:val="18"/>
              </w:rPr>
              <w:t xml:space="preserve">Model 2</w:t>
            </w:r>
          </w:p>
        </w:tc>
        <w:tc>
          <w:tcPr>
            <w:tcW w:type="dxa" w:w="2000"/>
            <w:shd w:val="clear" w:fill="F2F2F2"/>
          </w:tcPr>
          <w:p>
            <w:r>
              <w:rPr>
                <w:b/>
                <w:sz w:val="18"/>
              </w:rPr>
              <w:t xml:space="preserve">Model 3</w:t>
            </w:r>
          </w:p>
        </w:tc>
      </w:tr>
      <w:tr>
        <w:tc>
          <w:tcPr>
            <w:tcW w:type="dxa" w:w="3360"/>
          </w:tcPr>
          <w:p>
            <w:r>
              <w:rPr>
                <w:sz w:val="18"/>
              </w:rPr>
              <w:t xml:space="preserve">DePIN (vs DeFi)</w:t>
            </w:r>
          </w:p>
        </w:tc>
        <w:tc>
          <w:tcPr>
            <w:tcW w:type="dxa" w:w="2000"/>
          </w:tcPr>
          <w:p>
            <w:r>
              <w:rPr>
                <w:sz w:val="18"/>
              </w:rPr>
              <w:t xml:space="preserve">0.048**</w:t>
            </w:r>
          </w:p>
        </w:tc>
        <w:tc>
          <w:tcPr>
            <w:tcW w:type="dxa" w:w="2000"/>
          </w:tcPr>
          <w:p>
            <w:r>
              <w:rPr>
                <w:sz w:val="18"/>
              </w:rPr>
              <w:t xml:space="preserve">0.050**</w:t>
            </w:r>
          </w:p>
        </w:tc>
        <w:tc>
          <w:tcPr>
            <w:tcW w:type="dxa" w:w="2000"/>
          </w:tcPr>
          <w:p>
            <w:r>
              <w:rPr>
                <w:sz w:val="18"/>
              </w:rPr>
              <w:t xml:space="preserve">0.048*</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(0.023)</w:t>
            </w:r>
          </w:p>
        </w:tc>
        <w:tc>
          <w:tcPr>
            <w:tcW w:type="dxa" w:w="2000"/>
          </w:tcPr>
          <w:p>
            <w:r>
              <w:rPr>
                <w:sz w:val="18"/>
              </w:rPr>
              <w:t xml:space="preserve">(0.025)</w:t>
            </w:r>
          </w:p>
        </w:tc>
      </w:tr>
      <w:tr>
        <w:tc>
          <w:tcPr>
            <w:tcW w:type="dxa" w:w="3360"/>
          </w:tcPr>
          <w:p>
            <w:r>
              <w:rPr>
                <w:sz w:val="18"/>
              </w:rPr>
              <w:t xml:space="preserve">L1/L2/Infra (vs DeFi)</w:t>
            </w:r>
          </w:p>
        </w:tc>
        <w:tc>
          <w:tcPr>
            <w:tcW w:type="dxa" w:w="2000"/>
          </w:tcPr>
          <w:p>
            <w:r>
              <w:rPr>
                <w:sz w:val="18"/>
              </w:rPr>
              <w:t xml:space="preserve">-0.011</w:t>
            </w:r>
          </w:p>
        </w:tc>
        <w:tc>
          <w:tcPr>
            <w:tcW w:type="dxa" w:w="2000"/>
          </w:tcPr>
          <w:p>
            <w:r>
              <w:rPr>
                <w:sz w:val="18"/>
              </w:rPr>
              <w:t xml:space="preserve">-0.010</w:t>
            </w:r>
          </w:p>
        </w:tc>
        <w:tc>
          <w:tcPr>
            <w:tcW w:type="dxa" w:w="2000"/>
          </w:tcPr>
          <w:p>
            <w:r>
              <w:rPr>
                <w:sz w:val="18"/>
              </w:rPr>
              <w:t xml:space="preserve">-0.014</w:t>
            </w:r>
          </w:p>
        </w:tc>
      </w:tr>
      <w:tr>
        <w:tc>
          <w:tcPr>
            <w:tcW w:type="dxa" w:w="3360"/>
          </w:tcPr>
          <w:p>
            <w:r>
              <w:rPr>
                <w:sz w:val="18"/>
              </w:rPr>
              <w:t xml:space="preserve"/>
            </w:r>
          </w:p>
        </w:tc>
        <w:tc>
          <w:tcPr>
            <w:tcW w:type="dxa" w:w="2000"/>
          </w:tcPr>
          <w:p>
            <w:r>
              <w:rPr>
                <w:sz w:val="18"/>
              </w:rPr>
              <w:t xml:space="preserve">(0.019)</w:t>
            </w:r>
          </w:p>
        </w:tc>
        <w:tc>
          <w:tcPr>
            <w:tcW w:type="dxa" w:w="2000"/>
          </w:tcPr>
          <w:p>
            <w:r>
              <w:rPr>
                <w:sz w:val="18"/>
              </w:rPr>
              <w:t xml:space="preserve">(0.022)</w:t>
            </w:r>
          </w:p>
        </w:tc>
        <w:tc>
          <w:tcPr>
            <w:tcW w:type="dxa" w:w="2000"/>
          </w:tcPr>
          <w:p>
            <w:r>
              <w:rPr>
                <w:sz w:val="18"/>
              </w:rPr>
              <w:t xml:space="preserve">(0.025)</w:t>
            </w:r>
          </w:p>
        </w:tc>
      </w:tr>
      <w:tr>
        <w:tc>
          <w:tcPr>
            <w:tcW w:type="dxa" w:w="3360"/>
          </w:tcPr>
          <w:p>
            <w:r>
              <w:rPr>
                <w:sz w:val="18"/>
              </w:rPr>
              <w:t xml:space="preserve">Social (vs DeFi)</w:t>
            </w:r>
          </w:p>
        </w:tc>
        <w:tc>
          <w:tcPr>
            <w:tcW w:type="dxa" w:w="2000"/>
          </w:tcPr>
          <w:p>
            <w:r>
              <w:rPr>
                <w:sz w:val="18"/>
              </w:rPr>
              <w:t xml:space="preserve">0.034</w:t>
            </w:r>
          </w:p>
        </w:tc>
        <w:tc>
          <w:tcPr>
            <w:tcW w:type="dxa" w:w="2000"/>
          </w:tcPr>
          <w:p>
            <w:r>
              <w:rPr>
                <w:sz w:val="18"/>
              </w:rPr>
              <w:t xml:space="preserve">0.029</w:t>
            </w:r>
          </w:p>
        </w:tc>
        <w:tc>
          <w:tcPr>
            <w:tcW w:type="dxa" w:w="2000"/>
          </w:tcPr>
          <w:p>
            <w:r>
              <w:rPr>
                <w:sz w:val="18"/>
              </w:rPr>
              <w:t xml:space="preserve">0.029</w:t>
            </w:r>
          </w:p>
        </w:tc>
      </w:tr>
      <w:tr>
        <w:tc>
          <w:tcPr>
            <w:tcW w:type="dxa" w:w="3360"/>
          </w:tcPr>
          <w:p>
            <w:r>
              <w:rPr>
                <w:sz w:val="18"/>
              </w:rPr>
              <w:t xml:space="preserve"/>
            </w:r>
          </w:p>
        </w:tc>
        <w:tc>
          <w:tcPr>
            <w:tcW w:type="dxa" w:w="2000"/>
          </w:tcPr>
          <w:p>
            <w:r>
              <w:rPr>
                <w:sz w:val="18"/>
              </w:rPr>
              <w:t xml:space="preserve">(0.063)</w:t>
            </w:r>
          </w:p>
        </w:tc>
        <w:tc>
          <w:tcPr>
            <w:tcW w:type="dxa" w:w="2000"/>
          </w:tcPr>
          <w:p>
            <w:r>
              <w:rPr>
                <w:sz w:val="18"/>
              </w:rPr>
              <w:t xml:space="preserve">(0.075)</w:t>
            </w:r>
          </w:p>
        </w:tc>
        <w:tc>
          <w:tcPr>
            <w:tcW w:type="dxa" w:w="2000"/>
          </w:tcPr>
          <w:p>
            <w:r>
              <w:rPr>
                <w:sz w:val="18"/>
              </w:rPr>
              <w:t xml:space="preserve">(0.095)</w:t>
            </w:r>
          </w:p>
        </w:tc>
      </w:tr>
      <w:tr>
        <w:tc>
          <w:tcPr>
            <w:tcW w:type="dxa" w:w="3360"/>
          </w:tcPr>
          <w:p>
            <w:r>
              <w:rPr>
                <w:sz w:val="18"/>
              </w:rPr>
              <w:t xml:space="preserve">Protocol age (years)</w:t>
            </w:r>
          </w:p>
        </w:tc>
        <w:tc>
          <w:tcPr>
            <w:tcW w:type="dxa" w:w="2000"/>
          </w:tcPr>
          <w:p>
            <w:r>
              <w:rPr>
                <w:sz w:val="18"/>
              </w:rPr>
              <w:t xml:space="preserve"/>
            </w:r>
          </w:p>
        </w:tc>
        <w:tc>
          <w:tcPr>
            <w:tcW w:type="dxa" w:w="2000"/>
          </w:tcPr>
          <w:p>
            <w:r>
              <w:rPr>
                <w:sz w:val="18"/>
              </w:rPr>
              <w:t xml:space="preserve">0.000</w:t>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(0.005)</w:t>
            </w:r>
          </w:p>
        </w:tc>
        <w:tc>
          <w:tcPr>
            <w:tcW w:type="dxa" w:w="2000"/>
          </w:tcPr>
          <w:p>
            <w:r>
              <w:rPr>
                <w:sz w:val="18"/>
              </w:rPr>
              <w:t xml:space="preserve">(0.005)</w:t>
            </w:r>
          </w:p>
        </w:tc>
      </w:tr>
      <w:tr>
        <w:tc>
          <w:tcPr>
            <w:tcW w:type="dxa" w:w="3360"/>
          </w:tcPr>
          <w:p>
            <w:r>
              <w:rPr>
                <w:sz w:val="18"/>
              </w:rPr>
              <w:t xml:space="preserve">Log FDV</w:t>
            </w:r>
          </w:p>
        </w:tc>
        <w:tc>
          <w:tcPr>
            <w:tcW w:type="dxa" w:w="2000"/>
          </w:tcPr>
          <w:p>
            <w:r>
              <w:rPr>
                <w:sz w:val="18"/>
              </w:rPr>
              <w:t xml:space="preserve"/>
            </w:r>
          </w:p>
        </w:tc>
        <w:tc>
          <w:tcPr>
            <w:tcW w:type="dxa" w:w="2000"/>
          </w:tcPr>
          <w:p>
            <w:r>
              <w:rPr>
                <w:sz w:val="18"/>
              </w:rPr>
              <w:t xml:space="preserve">-0.001</w:t>
            </w:r>
          </w:p>
        </w:tc>
        <w:tc>
          <w:tcPr>
            <w:tcW w:type="dxa" w:w="2000"/>
          </w:tcPr>
          <w:p>
            <w:r>
              <w:rPr>
                <w:sz w:val="18"/>
              </w:rPr>
              <w:t xml:space="preserve">-0.002</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(0.004)</w:t>
            </w:r>
          </w:p>
        </w:tc>
        <w:tc>
          <w:tcPr>
            <w:tcW w:type="dxa" w:w="2000"/>
          </w:tcPr>
          <w:p>
            <w:r>
              <w:rPr>
                <w:sz w:val="18"/>
              </w:rPr>
              <w:t xml:space="preserve">(0.004)</w:t>
            </w:r>
          </w:p>
        </w:tc>
      </w:tr>
      <w:tr>
        <w:tc>
          <w:tcPr>
            <w:tcW w:type="dxa" w:w="3360"/>
          </w:tcPr>
          <w:p>
            <w:r>
              <w:rPr>
                <w:sz w:val="18"/>
              </w:rPr>
              <w:t xml:space="preserve">Initial insider allocation (%)</w:t>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
            </w:r>
          </w:p>
        </w:tc>
        <w:tc>
          <w:tcPr>
            <w:tcW w:type="dxa" w:w="2000"/>
          </w:tcPr>
          <w:p>
            <w:r>
              <w:rPr>
                <w:sz w:val="18"/>
              </w:rPr>
              <w:t xml:space="preserve"/>
            </w:r>
          </w:p>
        </w:tc>
        <w:tc>
          <w:tcPr>
            <w:tcW w:type="dxa" w:w="2000"/>
          </w:tcPr>
          <w:p>
            <w:r>
              <w:rPr>
                <w:sz w:val="18"/>
              </w:rPr>
              <w:t xml:space="preserve"/>
            </w:r>
          </w:p>
        </w:tc>
        <w:tc>
          <w:tcPr>
            <w:tcW w:type="dxa" w:w="2000"/>
          </w:tcPr>
          <w:p>
            <w:r>
              <w:rPr>
                <w:sz w:val="18"/>
              </w:rPr>
              <w:t xml:space="preserve">(0.001)</w:t>
            </w:r>
          </w:p>
        </w:tc>
      </w:tr>
      <w:tr>
        <w:tc>
          <w:tcPr>
            <w:tcW w:type="dxa" w:w="3360"/>
          </w:tcPr>
          <w:p>
            <w:r>
              <w:rPr>
                <w:sz w:val="18"/>
              </w:rPr>
              <w:t xml:space="preserve">Constant</w:t>
            </w:r>
          </w:p>
        </w:tc>
        <w:tc>
          <w:tcPr>
            <w:tcW w:type="dxa" w:w="2000"/>
          </w:tcPr>
          <w:p>
            <w:r>
              <w:rPr>
                <w:sz w:val="18"/>
              </w:rPr>
              <w:t xml:space="preserve">0.042***</w:t>
            </w:r>
          </w:p>
        </w:tc>
        <w:tc>
          <w:tcPr>
            <w:tcW w:type="dxa" w:w="2000"/>
          </w:tcPr>
          <w:p>
            <w:r>
              <w:rPr>
                <w:sz w:val="18"/>
              </w:rPr>
              <w:t xml:space="preserve">0.069</w:t>
            </w:r>
          </w:p>
        </w:tc>
        <w:tc>
          <w:tcPr>
            <w:tcW w:type="dxa" w:w="2000"/>
          </w:tcPr>
          <w:p>
            <w:r>
              <w:rPr>
                <w:sz w:val="18"/>
              </w:rPr>
              <w:t xml:space="preserve">0.053</w:t>
            </w:r>
          </w:p>
        </w:tc>
      </w:tr>
      <w:tr>
        <w:tc>
          <w:tcPr>
            <w:tcW w:type="dxa" w:w="3360"/>
          </w:tcPr>
          <w:p>
            <w:r>
              <w:rPr>
                <w:sz w:val="18"/>
              </w:rPr>
              <w:t xml:space="preserve"/>
            </w:r>
          </w:p>
        </w:tc>
        <w:tc>
          <w:tcPr>
            <w:tcW w:type="dxa" w:w="2000"/>
          </w:tcPr>
          <w:p>
            <w:r>
              <w:rPr>
                <w:sz w:val="18"/>
              </w:rPr>
              <w:t xml:space="preserve">(0.009)</w:t>
            </w:r>
          </w:p>
        </w:tc>
        <w:tc>
          <w:tcPr>
            <w:tcW w:type="dxa" w:w="2000"/>
          </w:tcPr>
          <w:p>
            <w:r>
              <w:rPr>
                <w:sz w:val="18"/>
              </w:rPr>
              <w:t xml:space="preserve">(0.090)</w:t>
            </w:r>
          </w:p>
        </w:tc>
        <w:tc>
          <w:tcPr>
            <w:tcW w:type="dxa" w:w="2000"/>
          </w:tcPr>
          <w:p>
            <w:r>
              <w:rPr>
                <w:sz w:val="18"/>
              </w:rPr>
              <w:t xml:space="preserve">(0.093)</w:t>
            </w:r>
          </w:p>
        </w:tc>
      </w:tr>
      <w:tr>
        <w:tc>
          <w:tcPr>
            <w:tcW w:type="dxa" w:w="3360"/>
          </w:tcPr>
          <w:p>
            <w:r>
              <w:rPr>
                <w:sz w:val="18"/>
              </w:rPr>
              <w:t xml:space="preserve">N</w:t>
            </w:r>
          </w:p>
        </w:tc>
        <w:tc>
          <w:tcPr>
            <w:tcW w:type="dxa" w:w="2000"/>
          </w:tcPr>
          <w:p>
            <w:r>
              <w:rPr>
                <w:sz w:val="18"/>
              </w:rPr>
              <w:t xml:space="preserve">38</w:t>
            </w:r>
          </w:p>
        </w:tc>
        <w:tc>
          <w:tcPr>
            <w:tcW w:type="dxa" w:w="2000"/>
          </w:tcPr>
          <w:p>
            <w:r>
              <w:rPr>
                <w:sz w:val="18"/>
              </w:rPr>
              <w:t xml:space="preserve">36</w:t>
            </w:r>
          </w:p>
        </w:tc>
        <w:tc>
          <w:tcPr>
            <w:tcW w:type="dxa" w:w="2000"/>
          </w:tcPr>
          <w:p>
            <w:r>
              <w:rPr>
                <w:sz w:val="18"/>
              </w:rPr>
              <w:t xml:space="preserve">35</w:t>
            </w:r>
          </w:p>
        </w:tc>
      </w:tr>
      <w:tr>
        <w:tc>
          <w:tcPr>
            <w:tcW w:type="dxa" w:w="3360"/>
          </w:tcPr>
          <w:p>
            <w:r>
              <w:rPr>
                <w:sz w:val="18"/>
              </w:rPr>
              <w:t xml:space="preserve">Adjusted R²</w:t>
            </w:r>
          </w:p>
        </w:tc>
        <w:tc>
          <w:tcPr>
            <w:tcW w:type="dxa" w:w="2000"/>
          </w:tcPr>
          <w:p>
            <w:r>
              <w:rPr>
                <w:sz w:val="18"/>
              </w:rPr>
              <w:t xml:space="preserve">0.167</w:t>
            </w:r>
          </w:p>
        </w:tc>
        <w:tc>
          <w:tcPr>
            <w:tcW w:type="dxa" w:w="2000"/>
          </w:tcPr>
          <w:p>
            <w:r>
              <w:rPr>
                <w:sz w:val="18"/>
              </w:rPr>
              <w:t xml:space="preserve">0.140</w:t>
            </w:r>
          </w:p>
        </w:tc>
        <w:tc>
          <w:tcPr>
            <w:tcW w:type="dxa" w:w="2000"/>
          </w:tcPr>
          <w:p>
            <w:r>
              <w:rPr>
                <w:sz w:val="18"/>
              </w:rPr>
              <w:t xml:space="preserve">0.145</w:t>
            </w:r>
          </w:p>
        </w:tc>
      </w:tr>
    </w:tbl>
    <w:p>
      <w:pPr>
        <w:pStyle w:val="Normal"/>
      </w:pPr>
      <w:r>
        <w:rPr>
          <w:b/>
          <w:i/>
          <w:sz w:val="20"/>
        </w:rPr>
        <w:t xml:space="preserve">Table 6. </w:t>
      </w:r>
      <w:r>
        <w:rPr>
          <w:i/>
          <w:sz w:val="20"/>
        </w:rPr>
        <w:t>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 Successive models lose observations as covariate availability declines (N = 38 to 36 to 35). Robust standard errors (HC3) in parentheses. * p &lt; 0.10, ** p &lt; 0.05, *** p &lt; 0.01.</w:t>
      </w:r>
    </w:p>
    <w:p>
      <w:pPr>
        <w:pStyle w:val="Heading2"/>
      </w:pPr>
      <w:r>
        <w:t xml:space="preserve">3.5 Voting Power vs Holding Concentration</w:t>
      </w:r>
    </w:p>
    <w:p>
      <w:pPr>
        <w:pStyle w:val="Normal"/>
      </w:pPr>
      <w:r>
        <w:t xml:space="preserve">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7 reports the holding-voting HHI gap. The delegation amplification ratio (voting HHI divided by holding HHI) reveals patterns that vary across and within sector categories,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wp:inline distT="0" distB="0" distL="0" distR="0">
            <wp:extent cx="5029200" cy="3275319"/>
            <wp:docPr id="105" name="Figure 6"/>
            <a:graphic>
              <a:graphicData uri="http://schemas.openxmlformats.org/drawingml/2006/picture">
                <pic:pic>
                  <pic:nvPicPr>
                    <pic:cNvPr id="105" name="Figure 6"/>
                    <pic:cNvPicPr/>
                  </pic:nvPicPr>
                  <pic:blipFill>
                    <a:blip r:embed="rId13"/>
                    <a:stretch>
                      <a:fillRect/>
                    </a:stretch>
                  </pic:blipFill>
                  <pic:spPr>
                    <a:xfrm>
                      <a:off x="0" y="0"/>
                      <a:ext cx="5029200" cy="3275319"/>
                    </a:xfrm>
                    <a:prstGeom prst="rect">
                      <a:avLst/>
                    </a:prstGeom>
                  </pic:spPr>
                </pic:pic>
              </a:graphicData>
            </a:graphic>
          </wp:inline>
        </w:drawing>
      </w:r>
    </w:p>
    <w:p>
      <w:r>
        <w:rPr>
          <w:b/>
          <w:i/>
          <w:sz w:val="20"/>
        </w:rPr>
        <w:t xml:space="preserve">Figure 6. </w:t>
      </w:r>
      <w:r>
        <w:rPr>
          <w:i/>
          <w:sz w:val="20"/>
        </w:rPr>
        <w:t>Raw holding HHI vs. delegation-adjusted HHI for five Tally-sourced protocols.</w:t>
      </w:r>
      <w:ins w:id="1059" w:author="Zach Zukowski (R1 revision)" w:date="2026-05-10T00:00:00Z">
        <w:r>
          <w:rPr>
            <w:color w:val="0070C0"/>
          </w:rPr>
          <w:t xml:space="preserve"> Reading the figure: protocols above the diagonal have voting more concentrated than holding (delegation amplifies); below the diagonal indicates the opposite.</w:t>
        </w:r>
      </w:ins>
    </w:p>
    <w:p>
      <w:pPr>
        <w:pStyle w:val="Normal"/>
      </w:pPr>
      <w:r>
        <w:t xml:space="preserve">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t>
      </w:r>
    </w:p>
    <w:p>
      <w:pPr>
        <w:pStyle w:val="Normal"/>
      </w:pPr>
      <w:r>
        <w:t xml:space="preserve">The two infrastructure protocols show opposite patterns despite sharing sector classification, execution layer, and nominal governance architecture. Optimism’s voting HHI (0.033) is 0.79 times its holding HHI (0.042), indicating that delegation marginally distributes voting power relative to holdings. Arbitrum’s voting HHI (0.052) is 4.3 times its holding HHI (0.012), indicating that delegation substantially concentrates voting power. Both protocols have invested in delegate-program infrastructure (published delegate platforms, recurring delegate compensation, active recruitment of long-form policy positions), and the differing outcomes suggest that delegation infrastructure investment alone does not predict whether the program produces dispersed or concentrated voting power.</w:t>
      </w:r>
    </w:p>
    <w:p>
      <w:r>
        <w:rPr/>
        <w: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t>
      </w:r>
    </w:p>
    <w:p>
      <w:pPr>
        <w:pStyle w:val="Normal"/>
      </w:pPr>
      <w: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eight protocols across DeFi (Compound, Aave, Uniswap), DePIN (DIMO, WeatherXM), infrastructure (Optimism, Arbitrum),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t>
      </w:r>
    </w:p>
    <w:tbl>
      <w:tblPr>
        <w:tblStyle w:val="TableGrid"/>
        <w:tblW w:type="dxa" w:w="9360"/>
        <w:tblBorders>
          <w:top w:val="single" w:sz="8" w:space="0" w:color="000000"/>
          <w:left w:val="none" w:sz="0" w:space="0" w:color="auto"/>
          <w:bottom w:val="single" w:sz="8" w:space="0" w:color="000000"/>
          <w:right w:val="none" w:sz="0" w:space="0" w:color="auto"/>
          <w:insideH w:val="single" w:sz="4" w:space="0" w:color="BFBFBF"/>
          <w:insideV w:val="none" w:sz="0" w:space="0" w:color="auto"/>
        </w:tblBorders>
        <w:tblLook w:firstColumn="1" w:firstRow="1" w:lastColumn="0" w:lastRow="0" w:noHBand="0" w:noVBand="1" w:val="04A0"/>
      </w:tblPr>
      <w:tblGrid>
        <w:gridCol w:w="1800"/>
        <w:gridCol w:w="1080"/>
        <w:gridCol w:w="1320"/>
        <w:gridCol w:w="1320"/>
        <w:gridCol w:w="1080"/>
        <w:gridCol w:w="2760"/>
      </w:tblGrid>
      <w:tr>
        <w:trPr>
          <w:cantSplit/>
          <w:tblHeader/>
        </w:trPr>
        <w:tc>
          <w:tcPr>
            <w:tcW w:type="dxa" w:w="1800"/>
            <w:shd w:val="clear" w:fill="F2F2F2"/>
          </w:tcPr>
          <w:tcPr/>
          <w:p>
            <w:pPr>
              <w:keepNext/>
            </w:pPr>
            <w:r>
              <w:rPr>
                <w:b/>
                <w:sz w:val="18"/>
              </w:rPr>
              <w:t xml:space="preserve">Protocol</w:t>
            </w:r>
          </w:p>
        </w:tc>
        <w:tc>
          <w:tcPr>
            <w:tcW w:type="dxa" w:w="1080"/>
            <w:shd w:val="clear" w:fill="F2F2F2"/>
          </w:tcPr>
          <w:tcPr/>
          <w:p>
            <w:pPr>
              <w:keepNext/>
            </w:pPr>
            <w:r>
              <w:rPr>
                <w:b/>
                <w:sz w:val="18"/>
              </w:rPr>
              <w:t xml:space="preserve">Category</w:t>
            </w:r>
          </w:p>
        </w:tc>
        <w:tc>
          <w:tcPr>
            <w:tcW w:type="dxa" w:w="1320"/>
            <w:shd w:val="clear" w:fill="F2F2F2"/>
          </w:tcPr>
          <w:tcPr/>
          <w:p>
            <w:pPr>
              <w:keepNext/>
            </w:pPr>
            <w:r>
              <w:rPr>
                <w:b/>
                <w:sz w:val="18"/>
              </w:rPr>
              <w:t xml:space="preserve">Holding HHI</w:t>
            </w:r>
          </w:p>
        </w:tc>
        <w:tc>
          <w:tcPr>
            <w:tcW w:type="dxa" w:w="1320"/>
            <w:shd w:val="clear" w:fill="F2F2F2"/>
          </w:tcPr>
          <w:tcPr/>
          <w:p>
            <w:pPr>
              <w:keepNext/>
            </w:pPr>
            <w:r>
              <w:rPr>
                <w:b/>
                <w:sz w:val="18"/>
              </w:rPr>
              <w:t xml:space="preserve">Voting HHI</w:t>
            </w:r>
          </w:p>
        </w:tc>
        <w:tc>
          <w:tcPr>
            <w:tcW w:type="dxa" w:w="1080"/>
            <w:shd w:val="clear" w:fill="F2F2F2"/>
          </w:tcPr>
          <w:tcPr/>
          <w:p>
            <w:pPr>
              <w:keepNext/>
            </w:pPr>
            <w:r>
              <w:rPr>
                <w:b/>
                <w:sz w:val="18"/>
              </w:rPr>
              <w:t xml:space="preserve">Ratio</w:t>
            </w:r>
          </w:p>
        </w:tc>
        <w:tc>
          <w:tcPr>
            <w:tcW w:type="dxa" w:w="2760"/>
            <w:shd w:val="clear" w:fill="F2F2F2"/>
          </w:tcPr>
          <w:tcPr/>
          <w:p>
            <w:pPr>
              <w:keepNext/>
            </w:pPr>
            <w:r>
              <w:rPr>
                <w:b/>
                <w:sz w:val="18"/>
              </w:rPr>
              <w:t xml:space="preserve">Source</w:t>
            </w:r>
          </w:p>
        </w:tc>
      </w:tr>
      <w:tr>
        <w:tc>
          <w:tcPr>
            <w:tcW w:type="dxa" w:w="1800"/>
          </w:tcPr>
          <w:tcPr/>
          <w:p>
            <w:r>
              <w:rPr>
                <w:sz w:val="18"/>
              </w:rPr>
              <w:t xml:space="preserve">DIMO</w:t>
            </w:r>
          </w:p>
        </w:tc>
        <w:tc>
          <w:tcPr>
            <w:tcW w:type="dxa" w:w="1080"/>
          </w:tcPr>
          <w:tcPr/>
          <w:p>
            <w:r>
              <w:rPr>
                <w:sz w:val="18"/>
              </w:rPr>
              <w:t xml:space="preserve">DePIN</w:t>
            </w:r>
          </w:p>
        </w:tc>
        <w:tc>
          <w:tcPr>
            <w:tcW w:type="dxa" w:w="1320"/>
          </w:tcPr>
          <w:tcPr/>
          <w:p>
            <w:r>
              <w:rPr>
                <w:sz w:val="18"/>
              </w:rPr>
              <w:t xml:space="preserve">0.038</w:t>
            </w:r>
          </w:p>
        </w:tc>
        <w:tc>
          <w:tcPr>
            <w:tcW w:type="dxa" w:w="1320"/>
          </w:tcPr>
          <w:tcPr/>
          <w:p>
            <w:r>
              <w:rPr>
                <w:sz w:val="18"/>
              </w:rPr>
              <w:t xml:space="preserve">0.228</w:t>
            </w:r>
          </w:p>
        </w:tc>
        <w:tc>
          <w:tcPr>
            <w:tcW w:type="dxa" w:w="1080"/>
          </w:tcPr>
          <w:tcPr/>
          <w:p>
            <w:r>
              <w:rPr>
                <w:sz w:val="18"/>
              </w:rPr>
              <w:t xml:space="preserve">6.0x</w:t>
            </w:r>
          </w:p>
        </w:tc>
        <w:tc>
          <w:tcPr>
            <w:tcW w:type="dxa" w:w="2760"/>
          </w:tcPr>
          <w:tcPr/>
          <w:p>
            <w:r>
              <w:rPr>
                <w:sz w:val="18"/>
              </w:rPr>
              <w:t xml:space="preserve">Snapshot</w:t>
            </w:r>
          </w:p>
        </w:tc>
      </w:tr>
      <w:tr>
        <w:tc>
          <w:tcPr>
            <w:tcW w:type="dxa" w:w="1800"/>
          </w:tcPr>
          <w:tcPr/>
          <w:p>
            <w:r>
              <w:rPr>
                <w:sz w:val="18"/>
              </w:rPr>
              <w:t xml:space="preserve">Lido</w:t>
            </w:r>
          </w:p>
        </w:tc>
        <w:tc>
          <w:tcPr>
            <w:tcW w:type="dxa" w:w="1080"/>
          </w:tcPr>
          <w:tcPr/>
          <w:p>
            <w:r>
              <w:rPr>
                <w:sz w:val="18"/>
              </w:rPr>
              <w:t xml:space="preserve">DeFi</w:t>
            </w:r>
          </w:p>
        </w:tc>
        <w:tc>
          <w:tcPr>
            <w:tcW w:type="dxa" w:w="1320"/>
          </w:tcPr>
          <w:tcPr/>
          <w:p>
            <w:r>
              <w:rPr>
                <w:sz w:val="18"/>
              </w:rPr>
              <w:t xml:space="preserve">0.018</w:t>
            </w:r>
          </w:p>
        </w:tc>
        <w:tc>
          <w:tcPr>
            <w:tcW w:type="dxa" w:w="1320"/>
          </w:tcPr>
          <w:tcPr/>
          <w:p>
            <w:r>
              <w:rPr>
                <w:sz w:val="18"/>
              </w:rPr>
              <w:t xml:space="preserve">0.088</w:t>
            </w:r>
          </w:p>
        </w:tc>
        <w:tc>
          <w:tcPr>
            <w:tcW w:type="dxa" w:w="1080"/>
          </w:tcPr>
          <w:tcPr/>
          <w:p>
            <w:r>
              <w:rPr>
                <w:sz w:val="18"/>
              </w:rPr>
              <w:t xml:space="preserve">4.8x</w:t>
            </w:r>
          </w:p>
        </w:tc>
        <w:tc>
          <w:tcPr>
            <w:tcW w:type="dxa" w:w="2760"/>
          </w:tcPr>
          <w:tcPr/>
          <w:p>
            <w:r>
              <w:rPr>
                <w:sz w:val="18"/>
              </w:rPr>
              <w:t xml:space="preserve">Snapshot</w:t>
            </w:r>
          </w:p>
        </w:tc>
      </w:tr>
      <w:tr>
        <w:tc>
          <w:tcPr>
            <w:tcW w:type="dxa" w:w="1800"/>
          </w:tcPr>
          <w:tcPr/>
          <w:p>
            <w:r>
              <w:rPr>
                <w:sz w:val="18"/>
              </w:rPr>
              <w:t xml:space="preserve">WeatherXM</w:t>
            </w:r>
          </w:p>
        </w:tc>
        <w:tc>
          <w:tcPr>
            <w:tcW w:type="dxa" w:w="1080"/>
          </w:tcPr>
          <w:tcPr/>
          <w:p>
            <w:r>
              <w:rPr>
                <w:sz w:val="18"/>
              </w:rPr>
              <w:t xml:space="preserve">DePIN</w:t>
            </w:r>
          </w:p>
        </w:tc>
        <w:tc>
          <w:tcPr>
            <w:tcW w:type="dxa" w:w="1320"/>
          </w:tcPr>
          <w:tcPr/>
          <w:p>
            <w:r>
              <w:rPr>
                <w:sz w:val="18"/>
              </w:rPr>
              <w:t xml:space="preserve">0.148</w:t>
            </w:r>
          </w:p>
        </w:tc>
        <w:tc>
          <w:tcPr>
            <w:tcW w:type="dxa" w:w="1320"/>
          </w:tcPr>
          <w:tcPr/>
          <w:p>
            <w:r>
              <w:rPr>
                <w:sz w:val="18"/>
              </w:rPr>
              <w:t xml:space="preserve">0.486</w:t>
            </w:r>
          </w:p>
        </w:tc>
        <w:tc>
          <w:tcPr>
            <w:tcW w:type="dxa" w:w="1080"/>
          </w:tcPr>
          <w:tcPr/>
          <w:p>
            <w:r>
              <w:rPr>
                <w:sz w:val="18"/>
              </w:rPr>
              <w:t xml:space="preserve">3.3x</w:t>
            </w:r>
          </w:p>
        </w:tc>
        <w:tc>
          <w:tcPr>
            <w:tcW w:type="dxa" w:w="2760"/>
          </w:tcPr>
          <w:tcPr/>
          <w:p>
            <w:r>
              <w:rPr>
                <w:sz w:val="18"/>
              </w:rPr>
              <w:t xml:space="preserve">Snapshot</w:t>
            </w:r>
          </w:p>
        </w:tc>
      </w:tr>
      <w:tr>
        <w:tc>
          <w:tcPr>
            <w:tcW w:type="dxa" w:w="1800"/>
          </w:tcPr>
          <w:tcPr/>
          <w:p>
            <w:r>
              <w:rPr>
                <w:sz w:val="18"/>
              </w:rPr>
              <w:t xml:space="preserve">Compound</w:t>
            </w:r>
          </w:p>
        </w:tc>
        <w:tc>
          <w:tcPr>
            <w:tcW w:type="dxa" w:w="1080"/>
          </w:tcPr>
          <w:tcPr/>
          <w:p>
            <w:r>
              <w:rPr>
                <w:sz w:val="18"/>
              </w:rPr>
              <w:t xml:space="preserve">DeFi</w:t>
            </w:r>
          </w:p>
        </w:tc>
        <w:tc>
          <w:tcPr>
            <w:tcW w:type="dxa" w:w="1320"/>
          </w:tcPr>
          <w:tcPr/>
          <w:p>
            <w:r>
              <w:rPr>
                <w:sz w:val="18"/>
              </w:rPr>
              <w:t xml:space="preserve">0.028</w:t>
            </w:r>
          </w:p>
        </w:tc>
        <w:tc>
          <w:tcPr>
            <w:tcW w:type="dxa" w:w="1320"/>
          </w:tcPr>
          <w:tcPr/>
          <w:p>
            <w:r>
              <w:rPr>
                <w:sz w:val="18"/>
              </w:rPr>
              <w:t xml:space="preserve">0.053</w:t>
            </w:r>
          </w:p>
        </w:tc>
        <w:tc>
          <w:tcPr>
            <w:tcW w:type="dxa" w:w="1080"/>
          </w:tcPr>
          <w:tcPr/>
          <w:p>
            <w:r>
              <w:rPr>
                <w:sz w:val="18"/>
              </w:rPr>
              <w:t xml:space="preserve">1.9x</w:t>
            </w:r>
          </w:p>
        </w:tc>
        <w:tc>
          <w:tcPr>
            <w:tcW w:type="dxa" w:w="2760"/>
          </w:tcPr>
          <w:tcPr/>
          <w:p>
            <w:pPr/>
            <w:del w:id="1021" w:author="Zach Zukowski (R1 revision)" w:date="2026-05-10T00:00:00Z">
              <w:r>
                <w:rPr>
                  <w:strike w:val="true"/>
                  <w:color w:val="C00000"/>
                </w:rPr>
                <w:delText xml:space="preserve">Tally</w:delText>
              </w:r>
            </w:del>
            <w:ins w:id="1022" w:author="Zach Zukowski (R1 revision)" w:date="2026-05-10T00:00:00Z">
              <w:r>
                <w:rPr>
                  <w:color w:val="0070C0"/>
                </w:rPr>
                <w:t xml:space="preserve">Snapshot†</w:t>
              </w:r>
            </w:ins>
          </w:p>
        </w:tc>
      </w:tr>
      <w:tr>
        <w:tc>
          <w:tcPr>
            <w:tcW w:type="dxa" w:w="1800"/>
          </w:tcPr>
          <w:tcPr/>
          <w:p>
            <w:r>
              <w:rPr>
                <w:sz w:val="18"/>
              </w:rPr>
              <w:t xml:space="preserve">Aave</w:t>
            </w:r>
          </w:p>
        </w:tc>
        <w:tc>
          <w:tcPr>
            <w:tcW w:type="dxa" w:w="1080"/>
          </w:tcPr>
          <w:tcPr/>
          <w:p>
            <w:r>
              <w:rPr>
                <w:sz w:val="18"/>
              </w:rPr>
              <w:t xml:space="preserve">DeFi</w:t>
            </w:r>
          </w:p>
        </w:tc>
        <w:tc>
          <w:tcPr>
            <w:tcW w:type="dxa" w:w="1320"/>
          </w:tcPr>
          <w:tcPr/>
          <w:p>
            <w:r>
              <w:rPr>
                <w:sz w:val="18"/>
              </w:rPr>
              <w:t>0.020</w:t>
            </w:r>
          </w:p>
        </w:tc>
        <w:tc>
          <w:tcPr>
            <w:tcW w:type="dxa" w:w="1320"/>
          </w:tcPr>
          <w:tcPr/>
          <w:p>
            <w:r>
              <w:rPr>
                <w:sz w:val="18"/>
              </w:rPr>
              <w:t xml:space="preserve">0.076</w:t>
            </w:r>
          </w:p>
        </w:tc>
        <w:tc>
          <w:tcPr>
            <w:tcW w:type="dxa" w:w="1080"/>
          </w:tcPr>
          <w:tcPr/>
          <w:p>
            <w:r>
              <w:rPr>
                <w:sz w:val="18"/>
              </w:rPr>
              <w:t>3.8x</w:t>
            </w:r>
          </w:p>
        </w:tc>
        <w:tc>
          <w:tcPr>
            <w:tcW w:type="dxa" w:w="2760"/>
          </w:tcPr>
          <w:tcPr/>
          <w:p>
            <w:r>
              <w:rPr>
                <w:sz w:val="18"/>
              </w:rPr>
              <w:t xml:space="preserve">Tally</w:t>
            </w:r>
          </w:p>
        </w:tc>
      </w:tr>
      <w:tr>
        <w:tc>
          <w:tcPr>
            <w:tcW w:type="dxa" w:w="1800"/>
          </w:tcPr>
          <w:tcPr/>
          <w:p>
            <w:r>
              <w:rPr>
                <w:sz w:val="18"/>
              </w:rPr>
              <w:t xml:space="preserve">Uniswap</w:t>
            </w:r>
          </w:p>
        </w:tc>
        <w:tc>
          <w:tcPr>
            <w:tcW w:type="dxa" w:w="1080"/>
          </w:tcPr>
          <w:tcPr/>
          <w:p>
            <w:r>
              <w:rPr>
                <w:sz w:val="18"/>
              </w:rPr>
              <w:t xml:space="preserve">DeFi</w:t>
            </w:r>
          </w:p>
        </w:tc>
        <w:tc>
          <w:tcPr>
            <w:tcW w:type="dxa" w:w="1320"/>
          </w:tcPr>
          <w:tcPr/>
          <w:p>
            <w:r>
              <w:rPr>
                <w:sz w:val="18"/>
              </w:rPr>
              <w:t>0.032</w:t>
            </w:r>
          </w:p>
        </w:tc>
        <w:tc>
          <w:tcPr>
            <w:tcW w:type="dxa" w:w="1320"/>
          </w:tcPr>
          <w:tcPr/>
          <w:p>
            <w:r>
              <w:rPr>
                <w:sz w:val="18"/>
              </w:rPr>
              <w:t xml:space="preserve">0.027</w:t>
            </w:r>
          </w:p>
        </w:tc>
        <w:tc>
          <w:tcPr>
            <w:tcW w:type="dxa" w:w="1080"/>
          </w:tcPr>
          <w:tcPr/>
          <w:p>
            <w:r>
              <w:rPr>
                <w:sz w:val="18"/>
              </w:rPr>
              <w:t>0.84x</w:t>
            </w:r>
          </w:p>
        </w:tc>
        <w:tc>
          <w:tcPr>
            <w:tcW w:type="dxa" w:w="2760"/>
          </w:tcPr>
          <w:tcPr/>
          <w:p>
            <w:r>
              <w:rPr>
                <w:sz w:val="18"/>
              </w:rPr>
              <w:t xml:space="preserve">Tally</w:t>
            </w:r>
          </w:p>
        </w:tc>
      </w:tr>
      <w:tr>
        <w:tc>
          <w:tcPr>
            <w:tcW w:type="dxa" w:w="1800"/>
          </w:tcPr>
          <w:tcPr/>
          <w:p>
            <w:r>
              <w:rPr>
                <w:sz w:val="18"/>
              </w:rPr>
              <w:t xml:space="preserve">Arbitrum</w:t>
            </w:r>
          </w:p>
        </w:tc>
        <w:tc>
          <w:tcPr>
            <w:tcW w:type="dxa" w:w="1080"/>
          </w:tcPr>
          <w:tcPr/>
          <w:p>
            <w:r>
              <w:rPr>
                <w:sz w:val="18"/>
              </w:rPr>
              <w:t xml:space="preserve">Infra</w:t>
            </w:r>
          </w:p>
        </w:tc>
        <w:tc>
          <w:tcPr>
            <w:tcW w:type="dxa" w:w="1320"/>
          </w:tcPr>
          <w:tcPr/>
          <w:p>
            <w:r>
              <w:rPr>
                <w:sz w:val="18"/>
              </w:rPr>
              <w:t>0.012</w:t>
            </w:r>
          </w:p>
        </w:tc>
        <w:tc>
          <w:tcPr>
            <w:tcW w:type="dxa" w:w="1320"/>
          </w:tcPr>
          <w:tcPr/>
          <w:p>
            <w:r>
              <w:rPr>
                <w:sz w:val="18"/>
              </w:rPr>
              <w:t xml:space="preserve">0.052</w:t>
            </w:r>
          </w:p>
        </w:tc>
        <w:tc>
          <w:tcPr>
            <w:tcW w:type="dxa" w:w="1080"/>
          </w:tcPr>
          <w:tcPr/>
          <w:p>
            <w:r>
              <w:rPr>
                <w:sz w:val="18"/>
              </w:rPr>
              <w:t>4.3x</w:t>
            </w:r>
          </w:p>
        </w:tc>
        <w:tc>
          <w:tcPr>
            <w:tcW w:type="dxa" w:w="2760"/>
          </w:tcPr>
          <w:tcPr/>
          <w:p>
            <w:pPr/>
            <w:del w:id="1023" w:author="Zach Zukowski (R1 revision)" w:date="2026-05-10T00:00:00Z">
              <w:r>
                <w:rPr>
                  <w:strike w:val="true"/>
                  <w:color w:val="C00000"/>
                </w:rPr>
                <w:delText xml:space="preserve">Tally</w:delText>
              </w:r>
            </w:del>
            <w:ins w:id="1024" w:author="Zach Zukowski (R1 revision)" w:date="2026-05-10T00:00:00Z">
              <w:r>
                <w:rPr>
                  <w:color w:val="0070C0"/>
                </w:rPr>
                <w:t xml:space="preserve">Snapshot†</w:t>
              </w:r>
            </w:ins>
          </w:p>
        </w:tc>
      </w:tr>
      <w:tr>
        <w:tc>
          <w:tcPr>
            <w:tcW w:type="dxa" w:w="1800"/>
          </w:tcPr>
          <w:tcPr/>
          <w:p>
            <w:r>
              <w:rPr>
                <w:sz w:val="18"/>
              </w:rPr>
              <w:t xml:space="preserve">Optimism</w:t>
            </w:r>
          </w:p>
        </w:tc>
        <w:tc>
          <w:tcPr>
            <w:tcW w:type="dxa" w:w="1080"/>
          </w:tcPr>
          <w:tcPr/>
          <w:p>
            <w:r>
              <w:rPr>
                <w:sz w:val="18"/>
              </w:rPr>
              <w:t xml:space="preserve">Infra</w:t>
            </w:r>
          </w:p>
        </w:tc>
        <w:tc>
          <w:tcPr>
            <w:tcW w:type="dxa" w:w="1320"/>
          </w:tcPr>
          <w:tcPr/>
          <w:p>
            <w:r>
              <w:rPr>
                <w:sz w:val="18"/>
              </w:rPr>
              <w:t>0.042</w:t>
            </w:r>
          </w:p>
        </w:tc>
        <w:tc>
          <w:tcPr>
            <w:tcW w:type="dxa" w:w="1320"/>
          </w:tcPr>
          <w:tcPr/>
          <w:p>
            <w:r>
              <w:rPr>
                <w:sz w:val="18"/>
              </w:rPr>
              <w:t xml:space="preserve">0.033</w:t>
            </w:r>
          </w:p>
        </w:tc>
        <w:tc>
          <w:tcPr>
            <w:tcW w:type="dxa" w:w="1080"/>
          </w:tcPr>
          <w:tcPr/>
          <w:p>
            <w:r>
              <w:rPr>
                <w:sz w:val="18"/>
              </w:rPr>
              <w:t>0.79x</w:t>
            </w:r>
          </w:p>
        </w:tc>
        <w:tc>
          <w:tcPr>
            <w:tcW w:type="dxa" w:w="2760"/>
          </w:tcPr>
          <w:tcPr/>
          <w:p>
            <w:r>
              <w:rPr>
                <w:sz w:val="18"/>
              </w:rPr>
              <w:t xml:space="preserve">Tally</w:t>
            </w:r>
          </w:p>
        </w:tc>
      </w:tr>
    </w:tbl>
    <w:p>
      <w:pPr>
        <w:pStyle w:val="Normal"/>
      </w:pPr>
      <w:r>
        <w:rPr>
          <w:b/>
          <w:i/>
          <w:sz w:val="20"/>
        </w:rPr>
        <w:t xml:space="preserve">Table 7. </w:t>
      </w:r>
      <w:r>
        <w:rPr>
          <w:i/>
          <w:sz w:val="20"/>
        </w:rPr>
        <w: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p>
      <w:pPr>
        <w:pStyle w:val="Normal"/>
        <w:rPr/>
        <w:rPr/>
      </w:pPr>
      <w:ins w:id="1049" w:author="Zach Zukowski (R1 revision)" w:date="2026-05-10T00:00:00Z">
        <w:r>
          <w:t xml:space="preserve">† 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t>
        </w:r>
      </w:ins>
    </w:p>
    <w:p>
      <w:pPr>
        <w:pStyle w:val="Heading2"/>
      </w:pPr>
      <w:r>
        <w:t xml:space="preserve">3.6 Hypothesis Evidence Status</w:t>
      </w:r>
    </w:p>
    <w:p>
      <w:r>
        <w:rPr>
          <w:b w:val="0"/>
        </w:rPr>
        <w: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t>
      </w:r>
    </w:p>
    <w:p>
      <w:r>
        <w:rPr>
          <w:b w:val="0"/>
        </w:rPr>
        <w: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t>
      </w:r>
    </w:p>
    <w:p>
      <w:pPr>
        <w:pStyle w:val="Heading2"/>
      </w:pPr>
      <w:r>
        <w:t xml:space="preserve">3.7 Robustness: Leave-One-Out Sensitivity</w:t>
      </w:r>
    </w:p>
    <w:p>
      <w:pPr>
        <w:pStyle w:val="Normal"/>
        <w:rPr/>
        <w:rPr/>
      </w:pPr>
      <w:ins w:id="1047" w:author="Zach Zukowski (R1 revision)" w:date="2026-05-10T00:00:00Z">
        <w:r>
          <w:t xml:space="preserve">Per Reviewer 1 and Reviewer 2 guidance: the cross-sectional sample size (N = 30 for the DePIN-vs-DeFi sector contrast; N = 19 for the subsidy excluding Livepeer test) bounds the strength of inference. Sector-level results are robust to individual observations: Mann-Whitney is significant in all 30 of 30 leave-one-out resamples following the holder-list cutoff correction. Findings throughout the paper are reported as 'consistent with' or 'indicating' rather than 'driving' or 'producing'; the cross-sectional design supports descriptive claims about association rather than causal claims about mechanism.</w:t>
        </w:r>
      </w:ins>
    </w:p>
    <w:p>
      <w:r>
        <w:rPr>
          <w:b w:val="0"/>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 after the F1 holder-list correction). The subsidy correlation is entirely driven by Livepeer. Details follow.</w:t>
      </w:r>
    </w:p>
    <w:p>
      <w:r>
        <w:rPr>
          <w:b w:val="0"/>
        </w:rPr>
        <w:t>The insider concentration relationship (Spearman rho = 0.48, p = 0.003, N = 37 after the F1 holder-list correction)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r>
        <w:rPr>
          <w:b w:val="0"/>
        </w:rPr>
        <w: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t>
      </w:r>
    </w:p>
    <w:p>
      <w:r>
        <w:rPr>
          <w:b w:val="0"/>
        </w:rPr>
        <w: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t>
      </w:r>
      <w:hyperlink r:id="rId25" w:history="1">
        <w:r>
          <w:rPr>
            <w:color w:val="0563C1"/>
            <w:u w:val="single"/>
          </w:rPr>
          <w:t xml:space="preserve">Supplementary File S8</w:t>
        </w:r>
      </w:hyperlink>
      <w:r>
        <w:rPr>
          <w:b w:val="0"/>
        </w:rPr>
        <w:t xml:space="preserve">.</w:t>
      </w:r>
    </w:p>
    <w:p>
      <w:pPr>
        <w:jc w:val="center"/>
      </w:pPr>
      <w:r>
        <w:drawing>
          <wp:inline distT="0" distB="0" distL="0" distR="0">
            <wp:extent cx="5943600" cy="3962955"/>
            <wp:docPr id="108" name="Figure 7"/>
            <a:graphic>
              <a:graphicData uri="http://schemas.openxmlformats.org/drawingml/2006/picture">
                <pic:pic>
                  <pic:nvPicPr>
                    <pic:cNvPr id="108" name="Figure 7"/>
                    <pic:cNvPicPr/>
                  </pic:nvPicPr>
                  <pic:blipFill>
                    <a:blip r:embed="rId17"/>
                    <a:stretch>
                      <a:fillRect/>
                    </a:stretch>
                  </pic:blipFill>
                  <pic:spPr>
                    <a:xfrm>
                      <a:off x="0" y="0"/>
                      <a:ext cx="5943600" cy="3962955"/>
                    </a:xfrm>
                    <a:prstGeom prst="rect">
                      <a:avLst/>
                    </a:prstGeom>
                  </pic:spPr>
                </pic:pic>
              </a:graphicData>
            </a:graphic>
          </wp:inline>
        </w:drawing>
      </w:r>
    </w:p>
    <w:p>
      <w:r>
        <w:rPr>
          <w:b/>
          <w:i/>
          <w:sz w:val="20"/>
        </w:rPr>
        <w:t xml:space="preserve">Figure 7. </w:t>
      </w:r>
      <w:r>
        <w:rPr>
          <w:i/>
          <w:sz w:val="20"/>
        </w:rPr>
        <w: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t>
      </w:r>
      <w:hyperlink r:id="rId25" w:history="1">
        <w:r>
          <w:rPr>
            <w:color w:val="0563C1"/>
            <w:u w:val="single"/>
          </w:rPr>
          <w:t xml:space="preserve">Supplementary File S8</w:t>
        </w:r>
      </w:hyperlink>
      <w:r>
        <w:rPr>
          <w:i/>
          <w:sz w:val="20"/>
        </w:rPr>
        <w:t xml:space="preserve">) is consistent with the null at r = 0.095.</w:t>
      </w:r>
      <w:ins w:id="1060" w:author="Zach Zukowski (R1 revision)" w:date="2026-05-10T00:00:00Z">
        <w:r>
          <w:rPr>
            <w:color w:val="0070C0"/>
          </w:rPr>
          <w:t xml:space="preserve"> Reading the figure: the cross-sector association weakens substantially when Livepeer is excluded, indicating the headline subsidy result is sensitive to a single high-leverage protocol.</w:t>
        </w:r>
      </w:ins>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r>
        <w:rPr>
          <w:b w:val="0"/>
        </w:rPr>
        <w:t xml:space="preserve">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t>
      </w:r>
    </w:p>
    <w:p>
      <w:pPr>
        <w:jc w:val="center"/>
      </w:pPr>
      <w:r>
        <w:drawing>
          <wp:inline distT="0" distB="0" distL="0" distR="0">
            <wp:extent cx="5029200" cy="3670153"/>
            <wp:docPr id="106" name="Figure 8"/>
            <a:graphic>
              <a:graphicData uri="http://schemas.openxmlformats.org/drawingml/2006/picture">
                <pic:pic>
                  <pic:nvPicPr>
                    <pic:cNvPr id="106" name="Figure 8"/>
                    <pic:cNvPicPr/>
                  </pic:nvPicPr>
                  <pic:blipFill>
                    <a:blip r:embed="rId15"/>
                    <a:stretch>
                      <a:fillRect/>
                    </a:stretch>
                  </pic:blipFill>
                  <pic:spPr>
                    <a:xfrm>
                      <a:off x="0" y="0"/>
                      <a:ext cx="5029200" cy="3670153"/>
                    </a:xfrm>
                    <a:prstGeom prst="rect">
                      <a:avLst/>
                    </a:prstGeom>
                  </pic:spPr>
                </pic:pic>
              </a:graphicData>
            </a:graphic>
          </wp:inline>
        </w:drawing>
      </w:r>
    </w:p>
    <w:p>
      <w:r>
        <w:rPr>
          <w:b/>
          <w:i/>
          <w:sz w:val="20"/>
        </w:rPr>
        <w:t xml:space="preserve">Figure 8. </w:t>
      </w:r>
      <w:r>
        <w:rPr>
          <w:i/>
          <w:sz w:val="20"/>
        </w:rPr>
        <w: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w:t>
      </w:r>
      <w:ins w:id="1061" w:author="Zach Zukowski (R1 revision)" w:date="2026-05-10T00:00:00Z">
        <w:r>
          <w:rPr>
            <w:color w:val="0070C0"/>
          </w:rPr>
          <w:t xml:space="preserve"> Reading the figure: the slope is approximately flat, indicating voter participation does not predict concentration in this 13-protocol sample.</w:t>
        </w:r>
      </w:ins>
    </w:p>
    <w:p>
      <w:pPr>
        <w:pStyle w:val="Heading1"/>
      </w:pPr>
      <w:r>
        <w:t xml:space="preserve">4 Discussion</w:t>
      </w:r>
    </w:p>
    <w:p>
      <w:pPr>
        <w:pStyle w:val="Heading2"/>
      </w:pPr>
      <w:r>
        <w:t xml:space="preserve">4.1 Design Hypotheses</w:t>
      </w:r>
    </w:p>
    <w:p>
      <w:r>
        <w: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t>
      </w:r>
    </w:p>
    <w:p>
      <w:r>
        <w: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t>
      </w:r>
    </w:p>
    <w:p>
      <w:r>
        <w: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t>
      </w:r>
    </w:p>
    <w:p>
      <w:r>
        <w: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t>
      </w:r>
    </w:p>
    <w:p>
      <w:r>
        <w:t xml:space="preserve">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t>
      </w:r>
    </w:p>
    <w:p>
      <w:r>
        <w:rPr/>
        <w: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t>
      </w:r>
    </w:p>
    <w:p>
      <w:r>
        <w:t xml:space="preserve">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t>
      </w:r>
    </w:p>
    <w:p>
      <w:r>
        <w: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t>
      </w:r>
    </w:p>
    <w:p>
      <w:pPr>
        <w:pStyle w:val="Heading2"/>
      </w:pPr>
      <w:r>
        <w:t xml:space="preserve">4.2 Governance Design Implications</w:t>
      </w:r>
    </w:p>
    <w:p>
      <w:r>
        <w:rPr/>
        <w: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0.52 to 0.99; Table 4; Livepeer excluded </w:t>
      </w:r>
      <w:r>
        <w:t>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t>
        <w:br/>
        <w: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t>
      </w:r>
    </w:p>
    <w:p>
      <w:r>
        <w:rPr/>
        <w: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 xml:space="preserve">4.3 Broader Institutional Implications</w:t>
      </w:r>
    </w:p>
    <w:p>
      <w:r>
        <w:rPr>
          <w:b w:val="0"/>
        </w:rPr>
        <w: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 xml:space="preserve">4.4 Risks and Counterpoints</w:t>
      </w:r>
    </w:p>
    <w:p>
      <w:r>
        <w:rPr>
          <w:b w:val="0"/>
          <w:i w:val="0"/>
        </w:rPr>
        <w:t>Several risks deserve candid acknowledgment.</w:t>
      </w:r>
    </w:p>
    <w:p>
      <w:r>
        <w:rPr>
          <w:b/>
        </w:rPr>
        <w:t xml:space="preserve">Philosophical overreach.</w:t>
      </w:r>
      <w:r>
        <w:rPr>
          <w:b w:val="0"/>
        </w:rPr>
        <w: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r>
        <w:t>comparable indicators, not definitive judgments.</w:t>
      </w:r>
    </w:p>
    <w:p>
      <w:r>
        <w:rPr>
          <w:b/>
        </w:rPr>
        <w:t xml:space="preserve">Plutocratic concentration as equilibrium.</w:t>
      </w:r>
      <w:r>
        <w:rPr>
          <w:b w:val="0"/>
        </w:rPr>
        <w:t xml:space="preserve"> The governance concentration data (Table 4) may reflect a stable equilibrium rather than a design flaw: if governance power accrues to those with the most skin in the game, concentration may be the efficient outcome.</w:t>
      </w:r>
    </w:p>
    <w:p>
      <w:r>
        <w:rPr>
          <w:b/>
        </w:rPr>
        <w:t xml:space="preserve">Distribution breadth at token launch</w:t>
      </w:r>
      <w:r>
        <w:rPr>
          <w:b w:val="0"/>
        </w:rPr>
        <w: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t>
      </w:r>
    </w:p>
    <w:p>
      <w:r>
        <w:rPr>
          <w:b/>
        </w:rPr>
        <w:t xml:space="preserve">The counterargument</w:t>
      </w:r>
      <w:r>
        <w:rPr>
          <w:b w:val="0"/>
        </w:rPr>
        <w: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rPr>
        <w:t xml:space="preserve">Measurement challenges.</w:t>
      </w:r>
      <w:r>
        <w:rPr>
          <w:b w:val="0"/>
        </w:rPr>
        <w:t xml:space="preserve"> The scoring rubric depends on publicly observable design features, but some legitimacy-relevant properties (backroom governance, informal influence, regulatory relationships) are not observable on-chain. We specify inter-rater reliability protocols (</w:t>
      </w:r>
      <w:hyperlink r:id="rId19" w:history="1">
        <w:r>
          <w:rPr>
            <w:color w:val="0563C1"/>
            <w:u w:val="single"/>
          </w:rPr>
          <w:t xml:space="preserve">Supplementary File S2</w:t>
        </w:r>
      </w:hyperlink>
      <w:r>
        <w:rPr>
          <w:b w:val="0"/>
        </w:rPr>
        <w:t xml:space="preserve">)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t>
      </w:r>
    </w:p>
    <w:p>
      <w:r>
        <w:rPr>
          <w:b/>
        </w:rPr>
        <w:t xml:space="preserve">Speed versus legitimacy trade-off.</w:t>
      </w:r>
      <w:r>
        <w:rPr>
          <w:b w:val="0"/>
        </w:rPr>
        <w: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 xml:space="preserve">4.5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t>
      </w:r>
    </w:p>
    <w:p>
      <w:r>
        <w:rPr/>
        <w: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t>
      </w:r>
    </w:p>
    <w:p>
      <w:r>
        <w:rPr/>
        <w:t> 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t>
      </w:r>
    </w:p>
    <w:p>
      <w:r>
        <w:rPr>
          <w:b/>
        </w:rPr>
        <w:t xml:space="preserve">Mechanism Design and Institutional Economics.</w:t>
      </w:r>
      <w:r>
        <w:rPr/>
        <w: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t>
      </w:r>
    </w:p>
    <w:p>
      <w:r>
        <w:rPr>
          <w:b/>
        </w:rPr>
        <w:t xml:space="preserve">Political Philosophy and Institutional Design.</w:t>
      </w:r>
      <w:r>
        <w:rPr/>
        <w: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t>
      </w:r>
    </w:p>
    <w:p>
      <w:r>
        <w:rPr>
          <w:b/>
        </w:rPr>
        <w:t xml:space="preserve">Blockchain Governance Scholarship.</w:t>
      </w:r>
      <w:r>
        <w:rPr/>
        <w: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t>
      </w:r>
    </w:p>
    <w:p>
      <w:r>
        <w:rPr>
          <w:b/>
        </w:rPr>
        <w:t xml:space="preserve">Token Engineering and Cryptoeconomics.</w:t>
      </w:r>
      <w:r>
        <w:rPr/>
        <w: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t>
      </w:r>
    </w:p>
    <w:p>
      <w:pPr>
        <w:pStyle w:val="Heading2"/>
      </w:pPr>
      <w:r>
        <w:t xml:space="preserve">4.6 Summary of Findings</w:t>
      </w:r>
    </w:p>
    <w:p>
      <w:r>
        <w:rPr>
          <w:b w:val="0"/>
        </w:rPr>
        <w: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t>
      </w:r>
    </w:p>
    <w:p>
      <w:r>
        <w: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t>
      </w:r>
    </w:p>
    <w:p>
      <w:pPr>
        <w:pStyle w:val="Heading2"/>
      </w:pPr>
      <w:r>
        <w:t xml:space="preserve">4.7 Contributions</w:t>
      </w:r>
    </w:p>
    <w:p>
      <w:r>
        <w:rPr>
          <w:b w:val="0"/>
        </w:rPr>
        <w: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t>
      </w:r>
    </w:p>
    <w:p>
      <w:pPr>
        <w:pStyle w:val="Heading2"/>
      </w:pPr>
      <w:r>
        <w:t xml:space="preserve">4.8 Limitations</w:t>
      </w:r>
    </w:p>
    <w:p>
      <w:r>
        <w:rPr>
          <w:b w:val="0"/>
        </w:rPr>
        <w:t>The evidence carries several limitations. The governance concentration analysis is a March 2026 snapshot: </w:t>
      </w:r>
      <w:r>
        <w:t xml:space="preserve">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t>
      </w:r>
      <w:hyperlink r:id="rId22" w:history="1">
        <w:r>
          <w:rPr>
            <w:color w:val="0563C1"/>
            <w:u w:val="single"/>
          </w:rPr>
          <w:t xml:space="preserve">Supplementary File S5</w:t>
        </w:r>
      </w:hyperlink>
      <w:r>
        <w:t xml:space="preserve">)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t>
      </w:r>
    </w:p>
    <w:p>
      <w:r>
        <w:rPr/>
        <w: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t>
      </w:r>
    </w:p>
    <w:p>
      <w:r>
        <w:rPr/>
        <w: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t>
      </w:r>
    </w:p>
    <w:p>
      <w:r>
        <w:rPr/>
        <w: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t>
      </w:r>
    </w:p>
    <w:p>
      <w:r>
        <w:rPr/>
        <w: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t>
      </w:r>
    </w:p>
    <w:p>
      <w:pPr>
        <w:pStyle w:val="Heading2"/>
      </w:pPr>
      <w:r>
        <w:t xml:space="preserve">4.9 Future Research</w:t>
      </w:r>
    </w:p>
    <w:p>
      <w:r>
        <w:rPr>
          <w:b w:val="0"/>
        </w:rPr>
        <w:t xml:space="preserve">Four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w:t>
      </w:r>
      <w:hyperlink r:id="rId24" w:history="1">
        <w:r>
          <w:rPr>
            <w:color w:val="0563C1"/>
            <w:u w:val="single"/>
          </w:rPr>
          <w:t xml:space="preserve">Supplementary File S7</w:t>
        </w:r>
      </w:hyperlink>
      <w:r>
        <w:rPr>
          <w:b w:val="0"/>
        </w:rPr>
        <w:t xml:space="preserve">)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3.4.</w:t>
      </w:r>
    </w:p>
    <w:p>
      <w:r>
        <w:rPr>
          <w:b w:val="0"/>
        </w:rPr>
        <w:t>Second, sample expansion: the current cross-section of 40 protocols supports descriptive analysis; expanding the sample to 50 to 60 protocols would enable the regression, panel, and event-study analyses currently specified as replication-ready designs.</w:t>
      </w:r>
    </w:p>
    <w:p>
      <w:r>
        <w:rPr>
          <w:b w:val="0"/>
        </w:rPr>
        <w:t>Third, inter-rater reliability: recruiting independent scorers to apply the rubric to overlapping protocol subsets would test whether the philosophical lens scores are reproducible and would strengthen the measurement claim.</w:t>
      </w:r>
    </w:p>
    <w:p>
      <w:r>
        <w:rPr>
          <w:b w:val="0"/>
        </w:rPr>
        <w: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t>
      </w:r>
    </w:p>
    <w:p>
      <w:pPr>
        <w:pStyle w:val="Heading1"/>
      </w:pPr>
      <w:r>
        <w:t>Supplementary Material</w:t>
      </w:r>
    </w:p>
    <w:p>
      <w:r>
        <w:t>The following supplementary files accompany this paper:</w:t>
      </w:r>
    </w:p>
    <w:p>
      <w:hyperlink r:id="rId18" w:history="1">
        <w:r>
          <w:rPr>
            <w:color w:val="0563C1"/>
            <w:u w:val="single"/>
          </w:rPr>
          <w:t xml:space="preserve">Supplementary File S1</w:t>
        </w:r>
      </w:hyperlink>
      <w:r>
        <w:t xml:space="preserve">: Extended metric definitions, including the Synergy Index construction and inter-rater reliability specification for multi-coder deployment of the scoring rubric.</w:t>
      </w:r>
    </w:p>
    <w:p>
      <w:hyperlink r:id="rId19" w:history="1">
        <w:r>
          <w:rPr>
            <w:color w:val="0563C1"/>
            <w:u w:val="single"/>
          </w:rPr>
          <w:t xml:space="preserve">Supplementary File S2</w:t>
        </w:r>
      </w:hyperlink>
      <w:r>
        <w:t xml:space="preserve">: Research instrument templates, including the protocol codebook schema and scoring sheet template with worked examples.</w:t>
      </w:r>
    </w:p>
    <w:p>
      <w:hyperlink r:id="rId20" w:history="1">
        <w:r>
          <w:rPr>
            <w:color w:val="0563C1"/>
            <w:u w:val="single"/>
          </w:rPr>
          <w:t xml:space="preserve">Supplementary File S3</w:t>
        </w:r>
      </w:hyperlink>
      <w:r>
        <w:t xml:space="preserve">: Scoring tables (protocol × criterion matrices with evidence links) for all 12 scored protocols.</w:t>
      </w:r>
    </w:p>
    <w:p>
      <w:hyperlink r:id="rId21" w:history="1">
        <w:r>
          <w:rPr>
            <w:color w:val="0563C1"/>
            <w:u w:val="single"/>
          </w:rPr>
          <w:t xml:space="preserve">Supplementary File S4</w:t>
        </w:r>
      </w:hyperlink>
      <w:r>
        <w:t xml:space="preserve">: Events table for future event-study analyses.</w:t>
      </w:r>
    </w:p>
    <w:p>
      <w:hyperlink r:id="rId22" w:history="1">
        <w:r>
          <w:rPr>
            <w:color w:val="0563C1"/>
            <w:u w:val="single"/>
          </w:rPr>
          <w:t xml:space="preserve">Supplementary File S5</w:t>
        </w:r>
      </w:hyperlink>
      <w:r>
        <w:t xml:space="preserve">: Full empirical pipeline specification (16 analyses across five categories), including replication-ready design for cross-sectional, panel, event-study, and qualitative analyses.</w:t>
      </w:r>
    </w:p>
    <w:p>
      <w:hyperlink r:id="rId23" w:history="1">
        <w:r>
          <w:rPr>
            <w:color w:val="0563C1"/>
            <w:u w:val="single"/>
          </w:rPr>
          <w:t xml:space="preserve">Supplementary File S6</w:t>
        </w:r>
      </w:hyperlink>
      <w:r>
        <w:t xml:space="preserve">: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t>
      </w:r>
    </w:p>
    <w:p>
      <w:r>
        <w:t xml:space="preserve">Replication data: https://github.com/Research-Publications-and-Data/Tokenomics-As-Institutional_Design</w:t>
      </w:r>
    </w:p>
    <w:p>
      <w:pPr>
        <w:pStyle w:val="Heading1"/>
      </w:pPr>
      <w:r>
        <w:t>Acknowledgments</w:t>
      </w:r>
    </w:p>
    <w:p>
      <w: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p>
    <w:p>
      <w:pPr>
        <w:pStyle w:val="Heading1"/>
      </w:pPr>
      <w:r>
        <w:t>References</w:t>
      </w:r>
    </w:p>
    <w:p>
      <w:pPr>
        <w:pStyle w:val="Normal"/>
        <w:rPr/>
        <w:rPr/>
      </w:pPr>
      <w:ins w:id="1050" w:author="Zach Zukowski (R1 revision)" w:date="2026-05-10T00:00:00Z">
        <w:r>
          <w:t xml:space="preserve">Birchall, J. (2011). People-centred businesses: Co-operatives, mutuals and the idea of membership. Palgrave Macmillan.</w:t>
        </w:r>
      </w:ins>
    </w:p>
    <w:p>
      <w:pPr>
        <w:pStyle w:val="Normal"/>
        <w:rPr/>
        <w:rPr/>
      </w:pPr>
      <w:ins w:id="1051" w:author="Zach Zukowski (R1 revision)" w:date="2026-05-10T00:00:00Z">
        <w:r>
          <w:t xml:space="preserve">Hansmann, H. (1996). The ownership of enterprise. Harvard University Press.</w:t>
        </w:r>
      </w:ins>
    </w:p>
    <w:p>
      <w:pPr>
        <w:pStyle w:val="Normal"/>
        <w:rPr/>
        <w:rPr/>
      </w:pPr>
      <w:ins w:id="1052" w:author="Zach Zukowski (R1 revision)" w:date="2026-05-10T00:00:00Z">
        <w:r>
          <w:t xml:space="preserve">International Cooperative Alliance. (1995). Statement on the cooperative identity. ICA.</w:t>
        </w:r>
      </w:ins>
    </w:p>
    <w:p>
      <w:pPr>
        <w:pStyle w:val="Normal"/>
        <w:rPr/>
        <w:rPr/>
      </w:pPr>
      <w:ins w:id="1053" w:author="Zach Zukowski (R1 revision)" w:date="2026-05-10T00:00:00Z">
        <w:r>
          <w:t xml:space="preserve">Scholz, T. (2016). Platform cooperativism: Challenging the corporate sharing economy. Rosa Luxemburg Stiftung.</w:t>
        </w:r>
      </w:ins>
    </w:p>
    <w:p>
      <w:r>
        <w:t xml:space="preserve">Alshater, M. M. (2026). Decentralized physical infrastructure networks (DePIN) tokenomics. Frontiers in Blockchain, 8, 1644115. https://doi.org/10.3389/fbloc.2025.1644115</w:t>
      </w:r>
    </w:p>
    <w:p>
      <w:r>
        <w:t>Appiah, K. A. (2006). Cosmopolitanism: Ethics in a world of strangers. W. W. Norton.</w:t>
      </w:r>
    </w:p>
    <w:p>
      <w:r>
        <w:t>Appel, I., &amp; Grennan, J. (2023). Control of decentralized autonomous organizations. AEA Papers and Proceedings, 113, 182–185. https://doi.org/10.1257/pandp.20231119</w:t>
      </w:r>
    </w:p>
    <w:p>
      <w:r>
        <w:t>Aramonte, S., Huang, W., &amp; Schrimpf, A. (2021). DeFi risks and the decentralisation illusion. BIS Quarterly Review, December 2021, 21–36. https://www.bis.org/publ/qtrpdf/r_qt2112b.htm</w:t>
      </w:r>
    </w:p>
    <w:p>
      <w:r>
        <w:t>Arnosti, N., &amp; Weinberg, S. M. (2022). Bitcoin: A natural oligopoly. Management Science, 68(7), 4755–4771. https://doi.org/10.1287/mnsc.2021.4095</w:t>
      </w:r>
    </w:p>
    <w:p>
      <w:r>
        <w:t xml:space="preserve">Ballandies, M. C., Wang, H., Law, A. C. C., Yang, J. C., Gosken, C., &amp; Andrew, M. (2023). A taxonomy for blockchain-based decentralized physical infrastructure networks (DePIN). 2023 IEEE 9th World Forum on Internet of Things (WF-IoT).</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Baygi, R. M., Introna, L. D., &amp; Ostovar, M. (2024). Beyond categories: A flow-oriented approach to social justice on online labor platforms. MIS Quarterly, 48(4), 1663–1690. https://doi.org/10.25300/MISQ/2024/18253</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Buddensiek, E., &amp; Momtaz, P. P. (2025). Information cascades in decentralized autonomous organizations (DAOs). SSRN Working Paper No. 5258156. https://doi.org/10.2139/ssrn.5258156</w:t>
      </w:r>
    </w:p>
    <w:p>
      <w:r>
        <w:t>Buterin, V., Conner, E., Dudley, R., Slipper, M., &amp; Norder, I. (2019). EIP-1559: Fee market change for ETH 1.0 chain (Ethereum Improvement Proposal). https://eips.ethereum.org/EIPS/eip-1559</w:t>
      </w:r>
    </w:p>
    <w:p>
      <w:r>
        <w:t>Calzada, I. (2025). The political economy of Web3 platformization: Innovation systems, reaching the moon, governing the ghetto. Digital, 5(4), 62. https://doi.org/10.3390/digital5040062</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De Filippi, P., Mannan, M., Cossar, S., Merk, T., &amp; Kamalova, J. (2024). Blockchain technology and polycentric governance (Research Project Report). European University Institute, Robert Schuman Centre. https://hdl.handle.net/1814/77030</w:t>
      </w:r>
    </w:p>
    <w:p>
      <w:r>
        <w:t>De Filippi, P., &amp; Wright, A. (2018). Blockchain and the law: The rule of code. Harvard University Press. https://doi.org/10.4159/9780674985933</w:t>
      </w:r>
    </w:p>
    <w:p>
      <w:r>
        <w:t>DeepDAO. (2023). DAO governance analytics [Data set]. Retrieved 2023, from https://deepdao.io</w:t>
      </w:r>
    </w:p>
    <w:p>
      <w:r>
        <w:t>Dune Analytics. (2026). On-chain governance token holder data [Data set]. Retrieved March 2026, from https://dune.com</w:t>
      </w:r>
    </w:p>
    <w:p>
      <w:r>
        <w:t>Eisermann, T., Campajola, C., Tessone, C. J., &amp; Teixeira, A. S. (2025). Concentration in governance control across decentralised finance protocols. EPJ Data Science, 14, 85. https://doi.org/10.1140/epjds/s13688-025-00610-5</w:t>
      </w:r>
    </w:p>
    <w:p>
      <w:r>
        <w:t>Esposito, M., Tse, T., &amp; Goh, D. (2025). Decentralizing governance: Exploring the dynamics and challenges of digital commons and DAOs. Frontiers in Blockchain, 8, 1538227. https://doi.org/10.3389/fbloc.2025.1538227</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Hall, A. B., &amp; Miyazaki, S. (2024). What happens when anyone can be your representative? Studying the use of liquid democracy for high-stakes decisions in online platforms. Stanford GSB Working Paper. https://doi.org/10.31219/osf.io/k3hcd</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Kiayias, A., Koutsoupias, E., Markakis, E., &amp; Tsamopoulos, P. (2025). Pool formation in oceanic games: Shapley value and proportional sharing. In Proc. 7th Conference on Advances in Financial Technologies (AFT 2025), LIPIcs Vol. 354, pp. 21:1–21:24. https://doi.org/10.4230/LIPIcs.AFT.2025.21</w:t>
      </w:r>
    </w:p>
    <w:p>
      <w:r>
        <w:t>Kvålsøth, T. O. (2022a). Measurement of market (industry) concentration based on value validity. PLOS ONE, 17(2), e0264613. https://doi.org/10.1371/journal.pone.0264613</w:t>
      </w:r>
    </w:p>
    <w:p>
      <w:r>
        <w:t>Kvålsøth, T. O. (2022b). Cautionary note about the Herfindahl-Hirschman Index of market (industry) concentration. Contemporary Economics, 16(1), 51–60. https://ssrn.com/abstract=4132083</w:t>
      </w:r>
    </w:p>
    <w:p>
      <w:r>
        <w:t>Li, S., &amp; Chen, Y. (2024). Governing decentralized autonomous organizations as digital commons. Journal of Business Venturing Insights, 22, e00450. https://doi.org/10.1016/j.jbvi.2024.e00450</w:t>
      </w:r>
    </w:p>
    <w:p>
      <w:r>
        <w:t>Michels, R. (1911/1962). Political parties: A sociological study of the oligarchical tendencies of modern democracy (E. Paul &amp; C. Paul, Trans.). Free Press. (Original work published 1911)</w:t>
      </w:r>
    </w:p>
    <w:p>
      <w:r>
        <w:t>Motepalli, S., Garg, N., Zhang, G., &amp; Jacobsen, H.-A. (2025). Decentralization in PoS blockchain consensus: Quantification and advancement. arXiv:2504.14351. https://arxiv.org/abs/2504.14351</w:t>
      </w:r>
    </w:p>
    <w:p>
      <w:r>
        <w:t>Myerson, R. B. (1981). Optimal auction design. Mathematics of Operations Research, 6(1), 58–73. https://doi.org/10.1287/moor.6.1.58</w:t>
      </w:r>
    </w:p>
    <w:p>
      <w:r>
        <w:t xml:space="preserve">Nabben, K., Wang, H., &amp; Zargham, M. (2024). Decentralised governance for autonomous cyber-physical systems. arXiv preprint, arXiv:2408.16764. https://arxiv.org/abs/2408.16764</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Okutan, B. A., Schmid, S., &amp; Pignolet, Y.-A. (2025). Democracy for DAOs: An empirical study of decentralized governance and dynamics: Case study Internet Computer SNS ecosystem. In Proc. IEEE International Conference on Blockchain and Cryptocurrency (ICBC). https://doi.org/10.1109/icbc64466.2025.11114606</w:t>
      </w:r>
    </w:p>
    <w:p>
      <w:r>
        <w:t>Olson, M. (1965). The logic of collective action: Public goods and the theory of groups. Harvard University Press.</w:t>
      </w:r>
    </w:p>
    <w:p>
      <w:r>
        <w:t>Ostrom, E. (1990). Governing the commons: The evolution of institutions for collective action. Cambridge University Press.</w:t>
      </w:r>
    </w:p>
    <w:p>
      <w:r>
        <w:t xml:space="preserve">Optimism. (2024). Optimism governance documentation: Citizens’ House. https://community.optimism.io/docs/governance/</w:t>
      </w:r>
    </w:p>
    <w:p>
      <w:r>
        <w:t>Pettit, P. (1997). Republicanism: A theory of freedom and government. Oxford University Press.</w:t>
      </w:r>
    </w:p>
    <w:p>
      <w:r>
        <w:t xml:space="preserve">Pfeffer, J., &amp; Salancik, G. R. (1978). The external control of organizations: A resource dependence perspective. Harper &amp; Row.</w:t>
      </w:r>
    </w:p>
    <w:p>
      <w:r>
        <w:t>Rawls, J. (1999). A theory of justice (Rev. ed.). Belknap Press of Harvard University Press. https://doi.org/10.4159/9780674042582 (Original work published 1971.)</w:t>
      </w:r>
    </w:p>
    <w:p>
      <w:r>
        <w:t>Reijers, W., &amp; Coeckelbergh, M. (2018). The blockchain as a narrative technology: Investigating the social ontology and normative configurations of cryptocurrencies. Philosophy &amp; Technology, 31(1), 103–130. https://doi.org/10.1007/s13347-016-0239-x</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Scholte, J. A. (2026). Concluding reflections: Polycentricity and legitimacy in digital governance. Information, Communication &amp; Society. https://doi.org/10.1080/1369118X.2026.2624711</w:t>
      </w:r>
    </w:p>
    <w:p>
      <w:r>
        <w:t>Shapley, L. S. (1953). A value for n-person games. In H. W. Kuhn &amp; A. W. Tucker (Eds.), Contributions to the theory of games, Volume II (Annals of Mathematics Studies 28, pp. 307–317). Princeton University Press.</w:t>
      </w:r>
    </w:p>
    <w:p>
      <w:r>
        <w:t>Sen, A. (1999). Development as freedom. Alfred A. Knopf.</w:t>
      </w:r>
    </w:p>
    <w:p>
      <w:r>
        <w:t>Sharma, T., Potter, Y., Pongmala, K., Wang, H., Miller, A., Song, D., &amp; Wang, Y. (2026). Future of algorithmic organization: Large-scale analysis of decentralized autonomous organizations (DAOs). ACM Transactions on the Web. https://doi.org/10.1145/3796547</w:t>
      </w:r>
    </w:p>
    <w:p>
      <w:r>
        <w:t>Tchuente, G. (2025). Too big to monitor? Network scale and the breakdown of decentralized monitoring. arXiv:2511.23320. https://doi.org/10.48550/arXiv.2511.23320</w:t>
      </w:r>
    </w:p>
    <w:p>
      <w:r>
        <w:t>Van Vulpen, L., &amp; Jansen, S. (2023). Decentralized autonomous organization design for the commons and the common good. Frontiers in Blockchain, 6, 1257313. https://doi.org/10.3389/fbloc.2023.1257313</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Werbach, K. (2018). The blockchain and the new architecture of trust. MIT Press. https://doi.org/10.7551/mitpress/11449.001.0001</w:t>
      </w:r>
    </w:p>
    <w:p>
      <w:r>
        <w:t>Werner, S. M., Perez, D., Gudgeon, L., Klages-Mundt, A., Harz, D., &amp; Knottenbelt, W. J. (2022). SoK: Decentralized finance (DeFi). In Proceedings of the 4th ACM Conference on Advances in Financial Technologies (pp. 30–46). ACM. https://doi.org/10.1145/3558535.3559780</w:t>
      </w:r>
    </w:p>
    <w:p>
      <w:r>
        <w:t>Williamson, O. E. (1999). Public and private bureaucracies: A transaction cost economics perspective. Journal of Law, Economics, and Organization, 15(1), 306–342.</w:t>
      </w:r>
    </w:p>
    <w:p>
      <w:r>
        <w:t>Yanaka, H., &amp; Heeks, R. (2023). Analysing the development impact of the gig economy using Sen’s capability approach (Digital Development Working Paper No. 101). University of Manchester. https://hummedia.manchester.ac.uk/institutes/gdi/publications/workingpapers/di/dd_wp101.pdf</w:t>
      </w:r>
    </w:p>
    <w:p>
      <w:r>
        <w:t>Zukowski, Z. (2026a). Who burns the tokens? Fiscal sustainability and demand concentration in GeoDePIN networks.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Seven Dollars: Legal Structure, Operator Risk, and Diligence Divergence Across Dollar-Denominated Digital Products. SSRN Working Paper [forthcoming].</w:t>
      </w:r>
    </w:p>
    <w:p>
      <w:r>
        <w:t>Zukowski, Z. (2026b). Adaptive Tokenomics: A Systems Engineering Approach to Programmable Incentive Design.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 Id="rId16" Type="http://schemas.openxmlformats.org/officeDocument/2006/relationships/image" Target="media/exhibit_sector_comparison.png"/><Relationship Id="rId17" Type="http://schemas.openxmlformats.org/officeDocument/2006/relationships/image" Target="media/exhibit_subsidy_vs_hhi.png"/><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b2/paper/supplements/S2_scoring_rubric.md" TargetMode="External"/><Relationship Id="rId20" Type="http://schemas.openxmlformats.org/officeDocument/2006/relationships/hyperlink" Target="https://github.com/Research-Publications-and-Data/Tokenomics-As-Institutional_Design/blob/main/b2/paper/supplements/S3_scoring_tables.md" TargetMode="External"/><Relationship Id="rId21" Type="http://schemas.openxmlformats.org/officeDocument/2006/relationships/hyperlink" Target="https://github.com/Research-Publications-and-Data/Tokenomics-As-Institutional_Design/blob/main/b2/paper/supplements/S4_events_table.md" TargetMode="External"/><Relationship Id="rId22" Type="http://schemas.openxmlformats.org/officeDocument/2006/relationships/hyperlink" Target="https://github.com/Research-Publications-and-Data/Tokenomics-As-Institutional_Design/blob/main/b2/paper/supplements/S5_pipeline_specification.md" TargetMode="External"/><Relationship Id="rId23" Type="http://schemas.openxmlformats.org/officeDocument/2006/relationships/hyperlink" Target="https://github.com/Research-Publications-and-Data/Tokenomics-As-Institutional_Design/blob/main/b2/paper/supplements/S6_revenue_standardization.md" TargetMode="External"/><Relationship Id="rId24" Type="http://schemas.openxmlformats.org/officeDocument/2006/relationships/hyperlink" Target="https://github.com/Research-Publications-and-Data/Tokenomics-As-Institutional_Design/tree/main/b2/paper/supplements/S7_hhi_panel" TargetMode="External"/><Relationship Id="rId25" Type="http://schemas.openxmlformats.org/officeDocument/2006/relationships/hyperlink" Target="https://github.com/Research-Publications-and-Data/Tokenomics-As-Institutional_Design/blob/main/b2/paper/supplements/S8_tt_expan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