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team and investor allocation at launch is uninformative about post-distribution governance concentration (Pearson r = 0.18, p = 0.28, N = 37): protocols with generous community distributions exhibit concentration patterns similar to those with heavy insider allocations. Hyperliquid (zero venture capital,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insider-heavy protocols develop concentrated governance ecosystems, not merely concentrated insider positions. Second, sector membership predicts concentration: DePIN exceeds DeFi (Mann-Whitney p = 0.014, Cohen’s d = 1.03), and the effect survives across three nested OLS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yields r = 0.11, p = 0.65. Fourth, delegation amplifies concentration unevenly: voting-power HHI reaches 3 to 6 times holding HHI in DePIN, while two infrastructure protocols diverge (Optimism 0.79x, Arbitrum 4.3x); operator and router design shape outcomes beyond sector classification alone.</w:t>
      </w:r>
    </w:p>
    <w:p>
      <w:r>
        <w:t>A measurement distinction underlies these findings. Token inequality (Gini, dispersion across all holders) and governance concentration (HHI, sum of squared top-holder shares) capture distinct properties of the same holder set. Inequality is severe in every protocol (Gini 0.52 to 0.99), while concentration varies across two orders of magnitude (HHI 0.005 to 0.199); the moderate correlation (r = 0.51) confirms that inequality metrics cannot substitute for direct concentration measurement.</w:t>
      </w:r>
    </w:p>
    <w:p>
      <w:pPr>
        <w:spacing w:before="240"/>
      </w:pPr>
      <w:r>
        <w:rPr>
          <w:b/>
        </w:rPr>
        <w:t xml:space="preserve">JEL Codes: </w:t>
      </w:r>
      <w:r>
        <w:rPr/>
        <w:t>C21, D02, D47, D63, D71, D72, G34, L22, O33, P48</w:t>
      </w:r>
    </w:p>
    <w:p>
      <w:pPr>
        <w:spacing w:before="240"/>
      </w:pPr>
      <w:r>
        <w:rPr>
          <w:b/>
        </w:rPr>
        <w:t>Keywords: tokenomics, institutional design, governance concentration, DAO governance, DePIN, delegation amplification, Herfindahl-Hirschman Index, burn-rule exclusion,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pPr>
      <w:r>
        <w:t xml:space="preserve">2.4.1 Cooperatives as the Nearest Institutional Ancestor</w:t>
      </w:r>
    </w:p>
    <w:p>
      <w:pPr>
        <w:pStyle w:val="Normal"/>
      </w:pPr>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p>
    <w:p>
      <w:pPr>
        <w:pStyle w:val="Normal"/>
      </w:pPr>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Normal"/>
      </w:pPr>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t>
      </w:r>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pPr>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pPr>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t>
      </w:r>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pPr>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r>
              <w:rPr>
                <w:sz w:val="18"/>
              </w:rPr>
              <w:t>34.9%</w:t>
            </w:r>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r>
              <w:rPr>
                <w:sz w:val="18"/>
              </w:rPr>
              <w:t>0.010</w:t>
            </w:r>
          </w:p>
        </w:tc>
        <w:tc>
          <w:tcPr>
            <w:tcW w:type="dxa" w:w="960"/>
          </w:tcPr>
          <w:p>
            <w:r>
              <w:rPr>
                <w:sz w:val="18"/>
              </w:rPr>
              <w:t>0.89</w:t>
            </w:r>
          </w:p>
        </w:tc>
        <w:tc>
          <w:tcPr>
            <w:tcW w:type="dxa" w:w="960"/>
          </w:tcPr>
          <w:p>
            <w:r>
              <w:rPr>
                <w:sz w:val="18"/>
              </w:rPr>
              <w:t>4.2%</w:t>
            </w:r>
          </w:p>
        </w:tc>
        <w:tc>
          <w:tcPr>
            <w:tcW w:type="dxa" w:w="1080"/>
          </w:tcPr>
          <w:p>
            <w:r>
              <w:rPr>
                <w:sz w:val="18"/>
              </w:rPr>
              <w:t>22.9%</w:t>
            </w:r>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r>
              <w:rPr>
                <w:sz w:val="18"/>
              </w:rPr>
              <w:t>0.017</w:t>
            </w:r>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r>
              <w:rPr>
                <w:sz w:val="18"/>
              </w:rPr>
              <w:t>22.4%</w:t>
            </w:r>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r>
              <w:rPr>
                <w:sz w:val="18"/>
              </w:rPr>
              <w:t>40.2%</w:t>
            </w:r>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r>
              <w:rPr>
                <w:sz w:val="18"/>
              </w:rPr>
              <w:t>29.6%</w:t>
            </w:r>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pPr>
      <w:r>
        <w:t xml:space="preserve">Table 4 notes:</w:t>
      </w:r>
    </w:p>
    <w:p>
      <w:pPr>
        <w:pStyle w:val="Normal"/>
      </w:pPr>
      <w:r>
        <w:t xml:space="preserve">† = futarchy governance (MetaDAO).</w:t>
      </w:r>
    </w:p>
    <w:p>
      <w:pPr>
        <w:pStyle w:val="Normal"/>
      </w:pPr>
      <w:r>
        <w:t xml:space="preserve">‡ (in protocol name column) = survivorship-bias control (TEC, Gitcoin).</w:t>
      </w:r>
    </w:p>
    <w:p>
      <w:pPr>
        <w:pStyle w:val="Normal"/>
      </w:pPr>
      <w:r>
        <w:t xml:space="preserve">Methodology notes: HHI for Curve reflects raw CRV holdings; veCRV-weighted concentration is approximately 0.171 due to lock-duration multipliers. HHI for Uniswap reflects post-burn-rule exclusion of 0x000...dead (102.46M UNI, 11.27% of supply). Top-1% and Top-10% columns for AAVE, UNI, ARB, GRT, and OP report post-exclusion shares, applying the same protocol-controlled-address exclusion methodology used for HHI computation.</w:t>
      </w:r>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t>
      </w:r>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pPr>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r>
              <w:rPr>
                <w:sz w:val="18"/>
              </w:rPr>
              <w:t>0.20</w:t>
            </w:r>
          </w:p>
        </w:tc>
        <w:tc>
          <w:tcPr>
            <w:tcW w:type="dxa" w:w="1000"/>
          </w:tcPr>
          <w:p>
            <w:r>
              <w:rPr>
                <w:sz w:val="18"/>
              </w:rPr>
              <w:t>0.224</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r>
              <w:rPr>
                <w:sz w:val="18"/>
              </w:rPr>
              <w:t>0.09</w:t>
            </w:r>
          </w:p>
        </w:tc>
        <w:tc>
          <w:tcPr>
            <w:tcW w:type="dxa" w:w="1000"/>
          </w:tcPr>
          <w:p>
            <w:r>
              <w:rPr>
                <w:sz w:val="18"/>
              </w:rPr>
              <w:t>0.596</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r>
              <w:rPr>
                <w:sz w:val="18"/>
              </w:rPr>
              <w:t>0.01</w:t>
            </w:r>
          </w:p>
        </w:tc>
        <w:tc>
          <w:tcPr>
            <w:tcW w:type="dxa" w:w="1000"/>
          </w:tcPr>
          <w:p>
            <w:r>
              <w:rPr>
                <w:sz w:val="18"/>
              </w:rPr>
              <w:t>0.957</w:t>
            </w:r>
          </w:p>
        </w:tc>
        <w:tc>
          <w:tcPr>
            <w:tcW w:type="dxa" w:w="540"/>
          </w:tcPr>
          <w:p>
            <w:r>
              <w:rPr>
                <w:sz w:val="18"/>
              </w:rPr>
              <w:t>40</w:t>
            </w:r>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r>
              <w:rPr>
                <w:sz w:val="18"/>
              </w:rPr>
              <w:t>0.008</w:t>
            </w:r>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r>
              <w:rPr>
                <w:sz w:val="18"/>
              </w:rPr>
              <w:t>0.12</w:t>
            </w:r>
          </w:p>
        </w:tc>
        <w:tc>
          <w:tcPr>
            <w:tcW w:type="dxa" w:w="1000"/>
          </w:tcPr>
          <w:p>
            <w:r>
              <w:rPr>
                <w:sz w:val="18"/>
              </w:rPr>
              <w:t>0.633</w:t>
            </w:r>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 Reading the figure: the absence of a downward slope is the finding; if insider allocation drove concentration we would expect a positive slope, and if exclusion overcorrected we would expect a negative slope.</w:t>
      </w:r>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t>
      </w:r>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r>
              <w:rPr>
                <w:sz w:val="18"/>
              </w:rPr>
              <w:t>Snapshot†</w:t>
            </w:r>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r>
              <w:rPr>
                <w:sz w:val="18"/>
              </w:rPr>
              <w:t>Snapshot†</w:t>
            </w:r>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pPr>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pPr>
      <w:r>
        <w:t xml:space="preserve">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 Reading the figure: the cross-sector association weakens substantially when Livepeer is excluded, indicating that the headline subsidy result is sensitive to a single high-leverage protocol.</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t>
      </w:r>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pPr>
      <w:r>
        <w:t xml:space="preserve">Birchall, J. (2011). People-centred businesses: Co-operatives, mutuals and the idea of membership. Palgrave Macmillan.</w:t>
      </w:r>
    </w:p>
    <w:p>
      <w:pPr>
        <w:pStyle w:val="Normal"/>
      </w:pPr>
      <w:r>
        <w:t xml:space="preserve">Hansmann, H. (1996). The ownership of enterprise. Harvard University Press.</w:t>
      </w:r>
    </w:p>
    <w:p>
      <w:pPr>
        <w:pStyle w:val="Normal"/>
      </w:pPr>
      <w:r>
        <w:t xml:space="preserve">International Cooperative Alliance. (1995). Statement on the cooperative identity. ICA.</w:t>
      </w:r>
    </w:p>
    <w:p>
      <w:pPr>
        <w:pStyle w:val="Normal"/>
      </w:pPr>
      <w:r>
        <w:t xml:space="preserve">Scholz, T. (2016). Platform cooperativism: Challenging the corporate sharing economy. Rosa Luxemburg Stiftung.</w:t>
      </w:r>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