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5.png" ContentType="image/png"/>
  <Override PartName="/word/media/rId49.png" ContentType="image/png"/>
  <Override PartName="/word/media/rId53.png" ContentType="image/png"/>
  <Override PartName="/word/media/rId7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40-Protocol Cross-Sectional Audit of DePIN and DeFi After Protocol-Controlled-Address Exclusion</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April 2026</w:t>
      </w:r>
    </w:p>
    <w:bookmarkStart w:id="9" w:name="abstract"/>
    <w:p>
      <w:pPr>
        <w:pStyle w:val="Heading1"/>
      </w:pPr>
      <w:r>
        <w:t xml:space="preserve">Abstract</w:t>
      </w:r>
    </w:p>
    <w:p>
      <w:pPr>
        <w:pStyle w:val="FirstParagraph"/>
      </w:pPr>
      <w:r>
        <w:t xml:space="preserve">Initial token allocation design is not associated with post-distribution governance concentration. This paper reports a 40-protocol cross-section spanning DePIN, DeFi, infrastructure, and social token categories, with protocol-controlled address (PCA) exclusions applied before computing Herfindahl-Hirschman Index (HHI) concentration metrics. Six candidate launch-design and protocol-financial covariates are uninformative about steady-state concentration: insider allocation (Pearson r = 0.05, p = 0.76, N = 37), team allocation (r = -0.08, p = 0.62, N = 37), investor allocation (r = 0.14, p = 0.39, N = 37), protocol maturity (r = 0.02, p = 0.92, N = 38), circulating-to-total supply ratio (r = 0.03, p = 0.86, N = 31), and MCap-to-FDV ratio (r = 0.21, p = 0.25, N = 33). An exclusion-adjusted float specification reaches the same conclusion (r = -0.003, p = 0.99, N = 30). Post-distribution dynamics dominate launch design: protocols with more insider wallets among top holders show higher concentration (Spearman rho = 0.48, p = 0.003, N = 37), and the association survives a non-insider HHI tautology check (rho = 0.54, p = 0.001, N = 34).</w:t>
      </w:r>
    </w:p>
    <w:p>
      <w:pPr>
        <w:pStyle w:val="BodyText"/>
      </w:pPr>
      <w:r>
        <w:t xml:space="preserve">Three further findings sharpen the measurement picture. DePIN governance is more concentrated than DeFi after PCA correction (Mann-Whitney p = 0.020, Cohen’s d = 0.94; robust in 30/30 leave-one-out iterations and across five alternative PCA-exclusion specifications). Subsidy intensity is associated with concentration only when Livepeer is included (r = 0.59, p = 0.003, N = 23); excluding that single outlier yields a clean null (r = 0.07, p = 0.77), and a Token-Terminal-expanded robustness sample is consistent with the null (r = 0.12, p = 0.61, N = 20). Delegation amplifies voting power above token holdings in nine of thirteen protocols with sufficient governance data (ratios 1.6x to 9.9x; mean approximately 4.9x), with four design-driven exceptions (ENS, GMX, HNT, JUP). Together the null sweep across allocation design, maturity, float, and subsidy specifications plus the structural sector contrast plus the delegation amplification pattern position post-distribution institutional design (rather than launch parameters) as the variation-explaining axis for token governance concentration.</w:t>
      </w:r>
    </w:p>
    <w:p>
      <w:pPr>
        <w:pStyle w:val="BodyText"/>
      </w:pPr>
      <w:r>
        <w:t xml:space="preserve">The methodological contribution is a generalizable PCA exclusion typology correcting systematic inflation in prior holder-list concentration studies (median inflation factor 2.3x; maximum approximately 18x). Gini and HHI capture distinct properties of the same holder set (r = 0.59); inequality metrics cannot substitute for direct concentration measurement.</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Herfindahl-Hirschman Index, DePIN, DAO governance, delegation amplification, protocol-controlled addresses, token allocation, measurement methodology</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But what shapes whether governance</w:t>
      </w:r>
      <w:r>
        <w:t xml:space="preserve"> </w:t>
      </w:r>
      <w:r>
        <w:t xml:space="preserve">power concentrates or distributes? Three candidate explanations dominate</w:t>
      </w:r>
      <w:r>
        <w:t xml:space="preserve"> </w:t>
      </w:r>
      <w:r>
        <w:t xml:space="preserve">practitioner discourse: insider token allocation concentrates power;</w:t>
      </w:r>
      <w:r>
        <w:t xml:space="preserve"> </w:t>
      </w:r>
      <w:r>
        <w:t xml:space="preserve">subsidy dependence (high token emissions relative to revenue) entrenches</w:t>
      </w:r>
      <w:r>
        <w:t xml:space="preserve"> </w:t>
      </w:r>
      <w:r>
        <w:t xml:space="preserve">early holders; and younger protocols have not yet had time to</w:t>
      </w:r>
      <w:r>
        <w:t xml:space="preserve"> </w:t>
      </w:r>
      <w:r>
        <w:t xml:space="preserve">decentralize. This paper tests all three and finds that none is sufficient as a</w:t>
      </w:r>
      <w:r>
        <w:t xml:space="preserve"> </w:t>
      </w:r>
      <w:r>
        <w:t xml:space="preserve">standalone explanation of the cross-sectional variation observed across</w:t>
      </w:r>
      <w:r>
        <w:t xml:space="preserve"> </w:t>
      </w:r>
      <w:r>
        <w:t xml:space="preserve">forty protocols.</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0.45x;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thirteen-protocol governance</w:t>
      </w:r>
      <w:r>
        <w:t xml:space="preserve"> </w:t>
      </w:r>
      <w:r>
        <w:t xml:space="preserve">sample studied here, delegation amplifies concentration in nine of</w:t>
      </w:r>
      <w:r>
        <w:t xml:space="preserve"> </w:t>
      </w:r>
      <w:r>
        <w:t xml:space="preserve">thirteen protocols (range 1.6x to 9.9x above the holding baseline), with</w:t>
      </w:r>
      <w:r>
        <w:t xml:space="preserve"> </w:t>
      </w:r>
      <w:r>
        <w:t xml:space="preserve">four structural exceptions on the dispersing side (ENS 0.45x, GMX 0.87x,</w:t>
      </w:r>
      <w:r>
        <w:t xml:space="preserve"> </w:t>
      </w:r>
      <w:r>
        <w:t xml:space="preserve">HNT 0.35x to 0.53x, JUP 0.057x; Section 4.5). The cross-protocol</w:t>
      </w:r>
      <w:r>
        <w:t xml:space="preserve"> </w:t>
      </w:r>
      <w:r>
        <w:t xml:space="preserve">variation is not associated with sector membership or governance venue but</w:t>
      </w:r>
      <w:r>
        <w:t xml:space="preserve"> </w:t>
      </w:r>
      <w:r>
        <w:t xml:space="preserve">by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5.1).</w:t>
      </w:r>
    </w:p>
    <w:p>
      <w:pPr>
        <w:pStyle w:val="BodyText"/>
      </w:pPr>
      <w:r>
        <w:t xml:space="preserve">A parallel pattern emerges for subsidy economics: financial</w:t>
      </w:r>
      <w:r>
        <w:t xml:space="preserve"> </w:t>
      </w:r>
      <w:r>
        <w:t xml:space="preserve">sustainability is uninformative as a concentration indicator. Three</w:t>
      </w:r>
      <w:r>
        <w:t xml:space="preserve"> </w:t>
      </w:r>
      <w:r>
        <w:t xml:space="preserve">protocols with nearly identical subsidy ratios (Aethir 0.36, Aave 0.37,</w:t>
      </w:r>
      <w:r>
        <w:t xml:space="preserve"> </w:t>
      </w:r>
      <w:r>
        <w:t xml:space="preserve">io.net 0.40) span nearly an order of magnitude in governance HHI (0.013</w:t>
      </w:r>
      <w:r>
        <w:t xml:space="preserve"> </w:t>
      </w:r>
      <w:r>
        <w:t xml:space="preserve">to 0.125): financial sustainability is neither necessary nor sufficient</w:t>
      </w:r>
      <w:r>
        <w:t xml:space="preserve"> </w:t>
      </w:r>
      <w:r>
        <w:t xml:space="preserve">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w:t>
      </w:r>
    </w:p>
    <w:p>
      <w:pPr>
        <w:pStyle w:val="BodyText"/>
      </w:pPr>
      <w:r>
        <w:t xml:space="preserve">We construct a 40-protocol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address</w:t>
      </w:r>
      <w:r>
        <w:t xml:space="preserve"> </w:t>
      </w:r>
      <w:r>
        <w:t xml:space="preserve">inclusions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0.48, p =</w:t>
      </w:r>
      <w:r>
        <w:t xml:space="preserve"> </w:t>
      </w:r>
      <w:r>
        <w:t xml:space="preserve">0.003, N = 37; Section 4.4). Third,</w:t>
      </w:r>
      <w:r>
        <w:t xml:space="preserve"> </w:t>
      </w:r>
      <w:r>
        <w:t xml:space="preserve">DePIN governance concentration is higher than DeFi after exclusion</w:t>
      </w:r>
      <w:r>
        <w:t xml:space="preserve"> </w:t>
      </w:r>
      <w:r>
        <w:t xml:space="preserve">correction (Mann-Whitney p = 0.020, Cohen’s d = 0.94),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nine of thirteen</w:t>
      </w:r>
      <w:r>
        <w:t xml:space="preserve"> </w:t>
      </w:r>
      <w:r>
        <w:t xml:space="preserve">protocols sampled, with amplification factors of 1.6x (DRIFT), 2.7x (Uniswap), 3.1x</w:t>
      </w:r>
      <w:r>
        <w:t xml:space="preserve"> </w:t>
      </w:r>
      <w:r>
        <w:t xml:space="preserve">(Arbitrum), 3.6x (Optimism), 3.8x (WeatherXM), 4.4x (Aave), 6.3x</w:t>
      </w:r>
      <w:r>
        <w:t xml:space="preserve"> </w:t>
      </w:r>
      <w:r>
        <w:t xml:space="preserve">(Lido), 9.1x (DIMO), and 9.9x (Compound). Four protocols</w:t>
      </w:r>
      <w:r>
        <w:t xml:space="preserve"> </w:t>
      </w:r>
      <w:r>
        <w:t xml:space="preserve">(ENS at 0.45x; GMX at 0.87x; HNT at 0.35x-0.53x; JUP at 0.057x most-extreme dispersion outlier) show delegation-mediated dispersion, reflecting</w:t>
      </w:r>
      <w:r>
        <w:t xml:space="preserve"> </w:t>
      </w:r>
      <w:r>
        <w:t xml:space="preserve">mature-delegate-program (ENS), methodology-sensitive crossover (GMX), Solana VSR lockup-weighted design (HNT), and Solana delegated-vote with broad airdrop user base (JUP) patterns where holders systematically delegate to a</w:t>
      </w:r>
      <w:r>
        <w:t xml:space="preserve"> </w:t>
      </w:r>
      <w:r>
        <w:t xml:space="preserve">broader community-delegate set or vote-weight mechanism design distributes voting power below the holding baseline. 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and Balancer (vote-escrowed governance via veCRV, which is vote-escrowed CRV, and veBAL, vote-escrowed BAL) show extreme amplification (15x and 21x)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forty protocols spanning</w:t>
      </w:r>
      <w:r>
        <w:t xml:space="preserve"> </w:t>
      </w:r>
      <w:r>
        <w:t xml:space="preserve">DePIN and adjacent categories.</w:t>
      </w:r>
    </w:p>
    <w:p>
      <w:pPr>
        <w:pStyle w:val="BodyText"/>
      </w:pPr>
      <w:r>
        <w:t xml:space="preserve">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Three classes of limitation deserve early notice. Measurement scope:</w:t>
      </w:r>
      <w:r>
        <w:t xml:space="preserve"> </w:t>
      </w:r>
      <w:r>
        <w:t xml:space="preserve">concentration is measured from holder lists and governance voting</w:t>
      </w:r>
      <w:r>
        <w:t xml:space="preserve"> </w:t>
      </w:r>
      <w:r>
        <w:t xml:space="preserve">surfaces after PCA exclusion; informal influence, off-chain coordination,</w:t>
      </w:r>
      <w:r>
        <w:t xml:space="preserve"> </w:t>
      </w:r>
      <w:r>
        <w:t xml:space="preserve">and proposal-specific quorum rules are not fully captured. Causal</w:t>
      </w:r>
      <w:r>
        <w:t xml:space="preserve"> </w:t>
      </w:r>
      <w:r>
        <w:t xml:space="preserve">inference scope: a March 2026 cross-section supports descriptive</w:t>
      </w:r>
      <w:r>
        <w:t xml:space="preserve"> </w:t>
      </w:r>
      <w:r>
        <w:t xml:space="preserve">association, not causal identification. Data limitations: voting-HHI</w:t>
      </w:r>
      <w:r>
        <w:t xml:space="preserve"> </w:t>
      </w:r>
      <w:r>
        <w:t xml:space="preserve">is available for thirteen protocols, PCA classification is weaker on</w:t>
      </w:r>
      <w:r>
        <w:t xml:space="preserve"> </w:t>
      </w:r>
      <w:r>
        <w:t xml:space="preserve">some Solana-native tokens, and the 40-protocol sample is small for</w:t>
      </w:r>
      <w:r>
        <w:t xml:space="preserve"> </w:t>
      </w:r>
      <w:r>
        <w:t xml:space="preserve">fully specified multivariate models. Each limitation is developed in</w:t>
      </w:r>
      <w:r>
        <w:t xml:space="preserve"> </w:t>
      </w:r>
      <w:r>
        <w:t xml:space="preserve">Section 5.7 with the relevant robustness defenses.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2.8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w:t>
      </w:r>
      <w:r>
        <w:t xml:space="preserve"> </w:t>
      </w:r>
      <w:r>
        <w:t xml:space="preserve">paper.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(§2.7-§2.8).</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(Aramonte et al.,</w:t>
      </w:r>
      <w:r>
        <w:t xml:space="preserve"> </w:t>
      </w:r>
      <w:r>
        <w:t xml:space="preserve">2021; Nadler &amp; Schär, 2020) structure.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complementary work in corporate-governance theory (Tirole, 2001, on managerial accountability and minority protection) provides a structurally-parallel reference for the principal-agent concerns that recur in delegated token governance.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w:t>
      </w:r>
      <w:r>
        <w:t xml:space="preserve"> </w:t>
      </w:r>
      <w:r>
        <w:t xml:space="preserve">Laredo, Kumar, and Compton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1.6x to 9.9x delegation</w:t>
      </w:r>
      <w:r>
        <w:t xml:space="preserve"> </w:t>
      </w:r>
      <w:r>
        <w:t xml:space="preserve">amplification ratios documented in Section 4.5 are consistent with</w:t>
      </w:r>
      <w:r>
        <w:t xml:space="preserve"> </w:t>
      </w:r>
      <w:r>
        <w:t xml:space="preserve">this clumping pattern.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0.05,</w:t>
      </w:r>
      <w:r>
        <w:t xml:space="preserve"> </w:t>
      </w:r>
      <w:r>
        <w:t xml:space="preserve">p = 0.76,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and (ii) legitimacy depends on measurable</w:t>
      </w:r>
      <w:r>
        <w:t xml:space="preserve"> </w:t>
      </w:r>
      <w:r>
        <w:t xml:space="preserve">concentration constraints and 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This paper draws on that literature only to motivate why governance concentration is worth measuring; optional legitimacy-scoring instruments are preserved in supplements.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w:t>
      </w:r>
      <w:r>
        <w:t xml:space="preserve"> </w:t>
      </w:r>
      <w:r>
        <w:t xml:space="preserve">here.</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the four-contribution structure stated in</w:t>
      </w:r>
      <w:r>
        <w:t xml:space="preserve"> </w:t>
      </w:r>
      <w:r>
        <w:t xml:space="preserve">§1.1 maps to the methodology in §3 and the results in §4.</w:t>
      </w:r>
    </w:p>
    <w:bookmarkEnd w:id="30"/>
    <w:bookmarkEnd w:id="31"/>
    <w:bookmarkStart w:id="43"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40-protocol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40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13 protocols with sufficient governance data (Table 6).</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40-protocol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S6</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rPr>
          <w:b/>
          <w:bCs/>
        </w:rPr>
        <w:t xml:space="preserve">Reading Table 3.</w:t>
      </w:r>
      <w:r>
        <w:t xml:space="preserve"> </w:t>
      </w:r>
      <w:r>
        <w:t xml:space="preserve">Top-1% and Top-10% columns report literal</w:t>
      </w:r>
      <w:r>
        <w:t xml:space="preserve"> </w:t>
      </w:r>
      <w:r>
        <w:t xml:space="preserve">cumulative shares: Top-1% is the supply share of the single largest</w:t>
      </w:r>
      <w:r>
        <w:t xml:space="preserve"> </w:t>
      </w:r>
      <w:r>
        <w:t xml:space="preserve">holder; Top-10% is the cumulative share of the top 10 holders, both</w:t>
      </w:r>
      <w:r>
        <w:t xml:space="preserve"> </w:t>
      </w:r>
      <w:r>
        <w:t xml:space="preserve">computed as percentages of the post-exclusion top-1,000-holder sample</w:t>
      </w:r>
      <w:r>
        <w:t xml:space="preserve"> </w:t>
      </w:r>
      <w:r>
        <w:t xml:space="preserve">total. The Top-5% column (in the canonical CSV; not displayed in this</w:t>
      </w:r>
      <w:r>
        <w:t xml:space="preserve"> </w:t>
      </w:r>
      <w:r>
        <w:t xml:space="preserve">table) reports the top 5 holders cumulative share under the same</w:t>
      </w:r>
      <w:r>
        <w:t xml:space="preserve"> </w:t>
      </w:r>
      <w:r>
        <w:t xml:space="preserve">convention. For protocols with fewer than 1,000 unique non-zero holders</w:t>
      </w:r>
      <w:r>
        <w:t xml:space="preserve"> </w:t>
      </w:r>
      <w:r>
        <w:t xml:space="preserve">after exclusion, the same literal-top-N convention applies to the actual</w:t>
      </w:r>
      <w:r>
        <w:t xml:space="preserve"> </w:t>
      </w:r>
      <w:r>
        <w:t xml:space="preserve">N. For protocols with more than 1,000 unique non-zero holders</w:t>
      </w:r>
      <w:r>
        <w:t xml:space="preserve"> </w:t>
      </w:r>
      <w:r>
        <w:t xml:space="preserve">post-exclusion, the top-1,000 holders are sampled and the literal top-1</w:t>
      </w:r>
      <w:r>
        <w:t xml:space="preserve"> </w:t>
      </w:r>
      <w:r>
        <w:t xml:space="preserve">and top-10 shares within that top-1,000 sample are reported. The HHI</w:t>
      </w:r>
      <w:r>
        <w:t xml:space="preserve"> </w:t>
      </w:r>
      <w:r>
        <w:t xml:space="preserve">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Four data streams inform the analysis: on-chain data (Dune Analytics,</w:t>
      </w:r>
      <w:r>
        <w:t xml:space="preserve"> </w:t>
      </w:r>
      <w:r>
        <w:t xml:space="preserve">Helius DAS API), protocol documentation (whitepapers, governance forums,</w:t>
      </w:r>
      <w:r>
        <w:t xml:space="preserve"> </w:t>
      </w:r>
      <w:r>
        <w:t xml:space="preserve">parameter docs), analytic aggregators (Token Terminal, DeFiLlama,</w:t>
      </w:r>
      <w:r>
        <w:t xml:space="preserve"> </w:t>
      </w:r>
      <w:r>
        <w:t xml:space="preserve">CoinGecko), and public academic and policy sources. A systematic data</w:t>
      </w:r>
      <w:r>
        <w:t xml:space="preserve"> </w:t>
      </w:r>
      <w:r>
        <w:t xml:space="preserve">coverage gap between DeFi and DePIN protocols (Token Terminal covers</w:t>
      </w:r>
      <w:r>
        <w:t xml:space="preserve"> </w:t>
      </w:r>
      <w:r>
        <w:t xml:space="preserve">approximately 100% of DeFi but only 25% of DePIN) constrains</w:t>
      </w:r>
      <w:r>
        <w:t xml:space="preserve"> </w:t>
      </w:r>
      <w:r>
        <w:t xml:space="preserve">cross-sector regression analysis. Full source provenance, exclusion</w:t>
      </w:r>
      <w:r>
        <w:t xml:space="preserve"> </w:t>
      </w:r>
      <w:r>
        <w:t xml:space="preserve">methodology, the protocols Token Terminal does not cover, and the</w:t>
      </w:r>
      <w:r>
        <w:t xml:space="preserve"> </w:t>
      </w:r>
      <w:r>
        <w:t xml:space="preserve">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from a March 2026 snapshot of Tally and</w:t>
      </w:r>
      <w:r>
        <w:t xml:space="preserve"> </w:t>
      </w:r>
      <w:r>
        <w:t xml:space="preserve">Snapshot governance data, consistent with the March 2026 holder-list</w:t>
      </w:r>
      <w:r>
        <w:t xml:space="preserve"> </w:t>
      </w:r>
      <w:r>
        <w:t xml:space="preserve">snapshot used for Table 3 holding HHI. Voting-power distributions can</w:t>
      </w:r>
      <w:r>
        <w:t xml:space="preserve"> </w:t>
      </w:r>
      <w:r>
        <w:t xml:space="preserve">drift materially over multi-month windows: replication runs using fresh</w:t>
      </w:r>
      <w:r>
        <w:t xml:space="preserve"> </w:t>
      </w:r>
      <w:r>
        <w:t xml:space="preserve">Tally and Snapshot data should expect comparable but not identical voting</w:t>
      </w:r>
      <w:r>
        <w:t xml:space="preserve"> </w:t>
      </w:r>
      <w:r>
        <w:t xml:space="preserve">HHI values, and rank ordering across protocols is the more durable</w:t>
      </w:r>
      <w:r>
        <w:t xml:space="preserve"> </w:t>
      </w:r>
      <w:r>
        <w:t xml:space="preserve">inferential property than absolute magnitude. Section 4.6 reports a</w:t>
      </w:r>
      <w:r>
        <w:t xml:space="preserve"> </w:t>
      </w:r>
      <w:r>
        <w:t xml:space="preserve">PCA-symmetric 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HNT and DRIFT via Helius RPC parsing of SPL Governance VoteRecordV2 accounts).</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7"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 three-tier procedure: Tier 1 uses Blockscout verified-</w:t>
      </w:r>
      <w:r>
        <w:t xml:space="preserve"> </w:t>
      </w:r>
      <w:r>
        <w:t xml:space="preserve">contract labels and Dune exchange tags; Tier 2 uses contract bytecode</w:t>
      </w:r>
      <w:r>
        <w:t xml:space="preserve"> </w:t>
      </w:r>
      <w:r>
        <w:t xml:space="preserve">matching for SafeProxy and GnosisSafe (multi-signature wallets where</w:t>
      </w:r>
      <w:r>
        <w:t xml:space="preserve"> </w:t>
      </w:r>
      <w:r>
        <w:t xml:space="preserve">several authorized parties must each sign a transaction to authorize</w:t>
      </w:r>
      <w:r>
        <w:t xml:space="preserve"> </w:t>
      </w:r>
      <w:r>
        <w:t xml:space="preserve">fund movement, commonly used as protocol treasuries) and vesting</w:t>
      </w:r>
      <w:r>
        <w:t xml:space="preserve"> </w:t>
      </w:r>
      <w:r>
        <w:t xml:space="preserve">contracts; Tier 3 uses Etherscan (an Ethereum blockchain explorer)</w:t>
      </w:r>
      <w:r>
        <w:t xml:space="preserve"> </w:t>
      </w:r>
      <w:r>
        <w:t xml:space="preserve">named-address matching against documented foundation, treasury, and</w:t>
      </w:r>
      <w:r>
        <w:t xml:space="preserve"> </w:t>
      </w:r>
      <w:r>
        <w:t xml:space="preserve">team wallets.</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w:t>
      </w:r>
      <w:r>
        <w:t xml:space="preserve"> </w:t>
      </w:r>
      <w:r>
        <w:t xml:space="preserve">carry an acknowledged labeling gap: io.net classifies as zero of ten</w:t>
      </w:r>
      <w:r>
        <w:t xml:space="preserve"> </w:t>
      </w:r>
      <w:r>
        <w:t xml:space="preserve">insiders because Solana lacks Blockscout-style contract labels at the</w:t>
      </w:r>
      <w:r>
        <w:t xml:space="preserve"> </w:t>
      </w:r>
      <w:r>
        <w:t xml:space="preserve">scale available on Ethereum and EVM (Ethereum Virtual Machine; the execution environment for Ethereum-compatible smart contracts) Layer 2 networks. This is a classification</w:t>
      </w:r>
      <w:r>
        <w:t xml:space="preserve"> </w:t>
      </w:r>
      <w:r>
        <w:t xml:space="preserve">limitation rather than evidence of distributed governance and is flagged</w:t>
      </w:r>
      <w:r>
        <w:t xml:space="preserve"> </w:t>
      </w:r>
      <w:r>
        <w:t xml:space="preserve">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6">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7"/>
    <w:bookmarkStart w:id="38"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6">
        <w:r>
          <w:rPr>
            <w:rStyle w:val="Hyperlink"/>
          </w:rPr>
          <w:t xml:space="preserve">Supplementary File S1</w:t>
        </w:r>
      </w:hyperlink>
      <w:r>
        <w:t xml:space="preserve">.</w:t>
      </w:r>
    </w:p>
    <w:bookmarkEnd w:id="38"/>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9">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2" w:name="X004e8cd687086e736c8a0ea627389197b207e79"/>
    <w:p>
      <w:pPr>
        <w:pStyle w:val="Heading2"/>
      </w:pPr>
      <w:r>
        <w:t xml:space="preserve">3.8 Generalizable Protocol-Controlled-Address (PCA) Exclusion Methodology</w:t>
      </w:r>
    </w:p>
    <w:p>
      <w:pPr>
        <w:pStyle w:val="FirstParagraph"/>
      </w:pPr>
      <w:r>
        <w:t xml:space="preserve">The protocol-controlled-address (PCA) 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The</w:t>
      </w:r>
      <w:r>
        <w:t xml:space="preserve"> </w:t>
      </w:r>
      <w:r>
        <w:t xml:space="preserve">methodology contribution is not just the specific exclusions applied</w:t>
      </w:r>
      <w:r>
        <w:t xml:space="preserve"> </w:t>
      </w:r>
      <w:r>
        <w:t xml:space="preserve">to this paper’s 40-protocol sample (Supplementary File S6 contains</w:t>
      </w:r>
      <w:r>
        <w:t xml:space="preserve"> </w:t>
      </w:r>
      <w:r>
        <w:t xml:space="preserve">the address-by-address documentation), but the generalizable typology</w:t>
      </w:r>
      <w:r>
        <w:t xml:space="preserve"> </w:t>
      </w:r>
      <w:r>
        <w:t xml:space="preserve">that future replication and extension work can apply uniformly.</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t xml:space="preserve">Across the five classes, this paper applies 133 PCA exclusions across</w:t>
      </w:r>
      <w:r>
        <w:t xml:space="preserve"> </w:t>
      </w:r>
      <w:r>
        <w:t xml:space="preserve">38 protocols (Supplementary File S6 and the supplementary exclusions</w:t>
      </w:r>
      <w:r>
        <w:t xml:space="preserve"> </w:t>
      </w:r>
      <w:r>
        <w:t xml:space="preserve">log dataset). The generalizable methodological</w:t>
      </w:r>
      <w:r>
        <w:t xml:space="preserve"> </w:t>
      </w:r>
      <w:r>
        <w:t xml:space="preserve">contribution: any future cross-protocol governance HHI analysis should</w:t>
      </w:r>
      <w:r>
        <w:t xml:space="preserve"> </w:t>
      </w:r>
      <w:r>
        <w:t xml:space="preserve">apply the five-class PCA exclusion uniformly before reporting holding</w:t>
      </w:r>
      <w:r>
        <w:t xml:space="preserve"> </w:t>
      </w:r>
      <w:r>
        <w:t xml:space="preserve">concentration metrics. The specific addresses depend on the protocol</w:t>
      </w:r>
      <w:r>
        <w:t xml:space="preserve"> </w:t>
      </w:r>
      <w:r>
        <w:t xml:space="preserve">sample; the methodology is sample-independent.</w:t>
      </w:r>
    </w:p>
    <w:bookmarkEnd w:id="42"/>
    <w:bookmarkEnd w:id="43"/>
    <w:bookmarkStart w:id="77" w:name="results"/>
    <w:p>
      <w:pPr>
        <w:pStyle w:val="Heading1"/>
      </w:pPr>
      <w:r>
        <w:t xml:space="preserve">4 Results</w:t>
      </w:r>
    </w:p>
    <w:bookmarkStart w:id="44" w:name="scope-and-claims-boundary"/>
    <w:p>
      <w:pPr>
        <w:pStyle w:val="Heading2"/>
      </w:pPr>
      <w:r>
        <w:t xml:space="preserve">4.1 Scope and Claims Boundary</w:t>
      </w:r>
    </w:p>
    <w:p>
      <w:pPr>
        <w:pStyle w:val="FirstParagraph"/>
      </w:pPr>
      <w:r>
        <w:t xml:space="preserve">The cross-section covers 40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 S6</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4.4;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4"/>
    <w:bookmarkStart w:id="48"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40-protocol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9251"/>
            <wp:effectExtent b="0" l="0" r="0" t="0"/>
            <wp:docPr descr="" title="" id="46" name="Picture"/>
            <a:graphic>
              <a:graphicData uri="http://schemas.openxmlformats.org/drawingml/2006/picture">
                <pic:pic>
                  <pic:nvPicPr>
                    <pic:cNvPr descr="media/fig3_hhi_bar_40protocols.png" id="47" name="Picture"/>
                    <pic:cNvPicPr>
                      <a:picLocks noChangeArrowheads="1" noChangeAspect="1"/>
                    </pic:cNvPicPr>
                  </pic:nvPicPr>
                  <pic:blipFill>
                    <a:blip r:embed="rId45"/>
                    <a:stretch>
                      <a:fillRect/>
                    </a:stretch>
                  </pic:blipFill>
                  <pic:spPr bwMode="auto">
                    <a:xfrm>
                      <a:off x="0" y="0"/>
                      <a:ext cx="5334000" cy="6139251"/>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40 governance tokens (March 2026 snapshot; top-1,000 holders; 133 protocol-controlled addresses excluded across 38 protocols per Section 3.8 five-class typology). Bars colored by category (DeFi orange; DePIN blue; L1/L2 Infrastructure green; Social grey); sorted by category then HHI ascending. Dashed vertical line at 0.25 marks the antitrust concentration threshold. Highest HHIs cluster in DePIN (Livepeer 0.199; WeatherXM 0.148; io.net 0.125; Aethir 0.095);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w:t>
      </w:r>
      <w:r>
        <w:t xml:space="preserve"> </w:t>
      </w:r>
      <w:hyperlink r:id="rId33">
        <w:r>
          <w:rPr>
            <w:rStyle w:val="Hyperlink"/>
          </w:rPr>
          <w:t xml:space="preserve">Supplementary File S6</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0.018</w:t>
            </w:r>
          </w:p>
        </w:tc>
        <w:tc>
          <w:tcPr/>
          <w:p>
            <w:pPr>
              <w:pStyle w:val="Compact"/>
              <w:jc w:val="left"/>
            </w:pPr>
            <w:r>
              <w:t xml:space="preserve">0.91</w:t>
            </w:r>
          </w:p>
        </w:tc>
        <w:tc>
          <w:tcPr/>
          <w:p>
            <w:pPr>
              <w:pStyle w:val="Compact"/>
              <w:jc w:val="left"/>
            </w:pPr>
            <w:r>
              <w:t xml:space="preserve">5.7%</w:t>
            </w:r>
          </w:p>
        </w:tc>
        <w:tc>
          <w:tcPr/>
          <w:p>
            <w:pPr>
              <w:pStyle w:val="Compact"/>
              <w:jc w:val="left"/>
            </w:pPr>
            <w:r>
              <w:t xml:space="preserve">31.1%</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0.0268</w:t>
            </w:r>
          </w:p>
        </w:tc>
        <w:tc>
          <w:tcPr/>
          <w:p>
            <w:pPr>
              <w:pStyle w:val="Compact"/>
              <w:jc w:val="left"/>
            </w:pPr>
            <w:r>
              <w:t xml:space="preserve">0.88</w:t>
            </w:r>
          </w:p>
        </w:tc>
        <w:tc>
          <w:tcPr/>
          <w:p>
            <w:pPr>
              <w:pStyle w:val="Compact"/>
              <w:jc w:val="left"/>
            </w:pPr>
            <w:r>
              <w:t xml:space="preserve">9.9%</w:t>
            </w:r>
          </w:p>
        </w:tc>
        <w:tc>
          <w:tcPr/>
          <w:p>
            <w:pPr>
              <w:pStyle w:val="Compact"/>
              <w:jc w:val="left"/>
            </w:pPr>
            <w:r>
              <w:t xml:space="preserve">43.1%</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0.0128</w:t>
            </w:r>
          </w:p>
        </w:tc>
        <w:tc>
          <w:tcPr/>
          <w:p>
            <w:pPr>
              <w:pStyle w:val="Compact"/>
              <w:jc w:val="left"/>
            </w:pPr>
            <w:r>
              <w:t xml:space="preserve">0.71</w:t>
            </w:r>
          </w:p>
        </w:tc>
        <w:tc>
          <w:tcPr/>
          <w:p>
            <w:pPr>
              <w:pStyle w:val="Compact"/>
              <w:jc w:val="left"/>
            </w:pPr>
            <w:r>
              <w:t xml:space="preserve">4.7%</w:t>
            </w:r>
          </w:p>
        </w:tc>
        <w:tc>
          <w:tcPr/>
          <w:p>
            <w:pPr>
              <w:pStyle w:val="Compact"/>
              <w:jc w:val="left"/>
            </w:pPr>
            <w:r>
              <w:t xml:space="preserve">30.1%</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0.0745</w:t>
            </w:r>
          </w:p>
        </w:tc>
        <w:tc>
          <w:tcPr/>
          <w:p>
            <w:pPr>
              <w:pStyle w:val="Compact"/>
              <w:jc w:val="left"/>
            </w:pPr>
            <w:r>
              <w:t xml:space="preserve">0.98</w:t>
            </w:r>
          </w:p>
        </w:tc>
        <w:tc>
          <w:tcPr/>
          <w:p>
            <w:pPr>
              <w:pStyle w:val="Compact"/>
              <w:jc w:val="left"/>
            </w:pPr>
            <w:r>
              <w:t xml:space="preserve">16.5%</w:t>
            </w:r>
          </w:p>
        </w:tc>
        <w:tc>
          <w:tcPr/>
          <w:p>
            <w:pPr>
              <w:pStyle w:val="Compact"/>
              <w:jc w:val="left"/>
            </w:pPr>
            <w:r>
              <w:t xml:space="preserve">76.4%</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0.1251</w:t>
            </w:r>
          </w:p>
        </w:tc>
        <w:tc>
          <w:tcPr/>
          <w:p>
            <w:pPr>
              <w:pStyle w:val="Compact"/>
              <w:jc w:val="left"/>
            </w:pPr>
            <w:r>
              <w:t xml:space="preserve">0.94</w:t>
            </w:r>
          </w:p>
        </w:tc>
        <w:tc>
          <w:tcPr/>
          <w:p>
            <w:pPr>
              <w:pStyle w:val="Compact"/>
              <w:jc w:val="left"/>
            </w:pPr>
            <w:r>
              <w:t xml:space="preserve">33.5%</w:t>
            </w:r>
          </w:p>
        </w:tc>
        <w:tc>
          <w:tcPr/>
          <w:p>
            <w:pPr>
              <w:pStyle w:val="Compact"/>
              <w:jc w:val="left"/>
            </w:pPr>
            <w:r>
              <w:t xml:space="preserve">61.2%</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0.0948</w:t>
            </w:r>
          </w:p>
        </w:tc>
        <w:tc>
          <w:tcPr/>
          <w:p>
            <w:pPr>
              <w:pStyle w:val="Compact"/>
              <w:jc w:val="left"/>
            </w:pPr>
            <w:r>
              <w:t xml:space="preserve">0.94</w:t>
            </w:r>
          </w:p>
        </w:tc>
        <w:tc>
          <w:tcPr/>
          <w:p>
            <w:pPr>
              <w:pStyle w:val="Compact"/>
              <w:jc w:val="left"/>
            </w:pPr>
            <w:r>
              <w:t xml:space="preserve">19.7%</w:t>
            </w:r>
          </w:p>
        </w:tc>
        <w:tc>
          <w:tcPr/>
          <w:p>
            <w:pPr>
              <w:pStyle w:val="Compact"/>
              <w:jc w:val="left"/>
            </w:pPr>
            <w:r>
              <w:t xml:space="preserve">67.6%</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3.1%</w:t>
            </w:r>
          </w:p>
        </w:tc>
        <w:tc>
          <w:tcPr/>
          <w:p>
            <w:pPr>
              <w:pStyle w:val="Compact"/>
              <w:jc w:val="left"/>
            </w:pPr>
            <w:r>
              <w:t xml:space="preserve">18.6%</w:t>
            </w:r>
          </w:p>
        </w:tc>
        <w:tc>
          <w:tcPr/>
          <w:p>
            <w:pPr>
              <w:pStyle w:val="Compact"/>
              <w:jc w:val="left"/>
            </w:pPr>
            <w:r>
              <w:t xml:space="preserve">1009</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0.0242</w:t>
            </w:r>
          </w:p>
        </w:tc>
        <w:tc>
          <w:tcPr/>
          <w:p>
            <w:pPr>
              <w:pStyle w:val="Compact"/>
              <w:jc w:val="left"/>
            </w:pPr>
            <w:r>
              <w:t xml:space="preserve">0.88</w:t>
            </w:r>
          </w:p>
        </w:tc>
        <w:tc>
          <w:tcPr/>
          <w:p>
            <w:pPr>
              <w:pStyle w:val="Compact"/>
              <w:jc w:val="left"/>
            </w:pPr>
            <w:r>
              <w:t xml:space="preserve">8.5%</w:t>
            </w:r>
          </w:p>
        </w:tc>
        <w:tc>
          <w:tcPr/>
          <w:p>
            <w:pPr>
              <w:pStyle w:val="Compact"/>
              <w:jc w:val="left"/>
            </w:pPr>
            <w:r>
              <w:t xml:space="preserve">40.6%</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0.0092</w:t>
            </w:r>
          </w:p>
        </w:tc>
        <w:tc>
          <w:tcPr/>
          <w:p>
            <w:pPr>
              <w:pStyle w:val="Compact"/>
              <w:jc w:val="left"/>
            </w:pPr>
            <w:r>
              <w:t xml:space="preserve">0.84</w:t>
            </w:r>
          </w:p>
        </w:tc>
        <w:tc>
          <w:tcPr/>
          <w:p>
            <w:pPr>
              <w:pStyle w:val="Compact"/>
              <w:jc w:val="left"/>
            </w:pPr>
            <w:r>
              <w:t xml:space="preserve">3.5%</w:t>
            </w:r>
          </w:p>
        </w:tc>
        <w:tc>
          <w:tcPr/>
          <w:p>
            <w:pPr>
              <w:pStyle w:val="Compact"/>
              <w:jc w:val="left"/>
            </w:pPr>
            <w:r>
              <w:t xml:space="preserve">20.8%</w:t>
            </w:r>
          </w:p>
        </w:tc>
        <w:tc>
          <w:tcPr/>
          <w:p>
            <w:pPr>
              <w:pStyle w:val="Compact"/>
              <w:jc w:val="left"/>
            </w:pPr>
            <w:r>
              <w:t xml:space="preserve">1005</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0.0392</w:t>
            </w:r>
          </w:p>
        </w:tc>
        <w:tc>
          <w:tcPr/>
          <w:p>
            <w:pPr>
              <w:pStyle w:val="Compact"/>
              <w:jc w:val="left"/>
            </w:pPr>
            <w:r>
              <w:t xml:space="preserve">0.87</w:t>
            </w:r>
          </w:p>
        </w:tc>
        <w:tc>
          <w:tcPr/>
          <w:p>
            <w:pPr>
              <w:pStyle w:val="Compact"/>
              <w:jc w:val="left"/>
            </w:pPr>
            <w:r>
              <w:t xml:space="preserve">11.5%</w:t>
            </w:r>
          </w:p>
        </w:tc>
        <w:tc>
          <w:tcPr/>
          <w:p>
            <w:pPr>
              <w:pStyle w:val="Compact"/>
              <w:jc w:val="left"/>
            </w:pPr>
            <w:r>
              <w:t xml:space="preserve">52.7%</w:t>
            </w:r>
          </w:p>
        </w:tc>
        <w:tc>
          <w:tcPr/>
          <w:p>
            <w:pPr>
              <w:pStyle w:val="Compact"/>
              <w:jc w:val="left"/>
            </w:pPr>
            <w:r>
              <w:t xml:space="preserve">1002</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4.3%</w:t>
            </w:r>
          </w:p>
        </w:tc>
        <w:tc>
          <w:tcPr/>
          <w:p>
            <w:pPr>
              <w:pStyle w:val="Compact"/>
              <w:jc w:val="left"/>
            </w:pPr>
            <w:r>
              <w:t xml:space="preserve">27.7%</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0.0529</w:t>
            </w:r>
          </w:p>
        </w:tc>
        <w:tc>
          <w:tcPr/>
          <w:p>
            <w:pPr>
              <w:pStyle w:val="Compact"/>
              <w:jc w:val="left"/>
            </w:pPr>
            <w:r>
              <w:t xml:space="preserve">0.92</w:t>
            </w:r>
          </w:p>
        </w:tc>
        <w:tc>
          <w:tcPr/>
          <w:p>
            <w:pPr>
              <w:pStyle w:val="Compact"/>
              <w:jc w:val="left"/>
            </w:pPr>
            <w:r>
              <w:t xml:space="preserve">19.3%</w:t>
            </w:r>
          </w:p>
        </w:tc>
        <w:tc>
          <w:tcPr/>
          <w:p>
            <w:pPr>
              <w:pStyle w:val="Compact"/>
              <w:jc w:val="left"/>
            </w:pPr>
            <w:r>
              <w:t xml:space="preserve">49.1%</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0.0957</w:t>
            </w:r>
          </w:p>
        </w:tc>
        <w:tc>
          <w:tcPr/>
          <w:p>
            <w:pPr>
              <w:pStyle w:val="Compact"/>
              <w:jc w:val="left"/>
            </w:pPr>
            <w:r>
              <w:t xml:space="preserve">0.98</w:t>
            </w:r>
          </w:p>
        </w:tc>
        <w:tc>
          <w:tcPr/>
          <w:p>
            <w:pPr>
              <w:pStyle w:val="Compact"/>
              <w:jc w:val="left"/>
            </w:pPr>
            <w:r>
              <w:t xml:space="preserve">26.0%</w:t>
            </w:r>
          </w:p>
        </w:tc>
        <w:tc>
          <w:tcPr/>
          <w:p>
            <w:pPr>
              <w:pStyle w:val="Compact"/>
              <w:jc w:val="left"/>
            </w:pPr>
            <w:r>
              <w:t xml:space="preserve">69.3%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0.0144</w:t>
            </w:r>
          </w:p>
        </w:tc>
        <w:tc>
          <w:tcPr/>
          <w:p>
            <w:pPr>
              <w:pStyle w:val="Compact"/>
              <w:jc w:val="left"/>
            </w:pPr>
            <w:r>
              <w:t xml:space="preserve">0.79</w:t>
            </w:r>
          </w:p>
        </w:tc>
        <w:tc>
          <w:tcPr/>
          <w:p>
            <w:pPr>
              <w:pStyle w:val="Compact"/>
              <w:jc w:val="left"/>
            </w:pPr>
            <w:r>
              <w:t xml:space="preserve">6.6%</w:t>
            </w:r>
          </w:p>
        </w:tc>
        <w:tc>
          <w:tcPr/>
          <w:p>
            <w:pPr>
              <w:pStyle w:val="Compact"/>
              <w:jc w:val="left"/>
            </w:pPr>
            <w:r>
              <w:t xml:space="preserve">31.2%</w:t>
            </w:r>
          </w:p>
        </w:tc>
        <w:tc>
          <w:tcPr/>
          <w:p>
            <w:pPr>
              <w:pStyle w:val="Compact"/>
              <w:jc w:val="left"/>
            </w:pPr>
            <w:r>
              <w:t xml:space="preserve">1010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0.0268</w:t>
            </w:r>
          </w:p>
        </w:tc>
        <w:tc>
          <w:tcPr/>
          <w:p>
            <w:pPr>
              <w:pStyle w:val="Compact"/>
              <w:jc w:val="left"/>
            </w:pPr>
            <w:r>
              <w:t xml:space="preserve">0.85</w:t>
            </w:r>
          </w:p>
        </w:tc>
        <w:tc>
          <w:tcPr/>
          <w:p>
            <w:pPr>
              <w:pStyle w:val="Compact"/>
              <w:jc w:val="left"/>
            </w:pPr>
            <w:r>
              <w:t xml:space="preserve">9.0%</w:t>
            </w:r>
          </w:p>
        </w:tc>
        <w:tc>
          <w:tcPr/>
          <w:p>
            <w:pPr>
              <w:pStyle w:val="Compact"/>
              <w:jc w:val="left"/>
            </w:pPr>
            <w:r>
              <w:t xml:space="preserve">41.7%</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0.0115</w:t>
            </w:r>
          </w:p>
        </w:tc>
        <w:tc>
          <w:tcPr/>
          <w:p>
            <w:pPr>
              <w:pStyle w:val="Compact"/>
              <w:jc w:val="left"/>
            </w:pPr>
            <w:r>
              <w:t xml:space="preserve">0.86</w:t>
            </w:r>
          </w:p>
        </w:tc>
        <w:tc>
          <w:tcPr/>
          <w:p>
            <w:pPr>
              <w:pStyle w:val="Compact"/>
              <w:jc w:val="left"/>
            </w:pPr>
            <w:r>
              <w:t xml:space="preserve">7.0%</w:t>
            </w:r>
          </w:p>
        </w:tc>
        <w:tc>
          <w:tcPr/>
          <w:p>
            <w:pPr>
              <w:pStyle w:val="Compact"/>
              <w:jc w:val="left"/>
            </w:pPr>
            <w:r>
              <w:t xml:space="preserve">19.0%</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0.0348</w:t>
            </w:r>
          </w:p>
        </w:tc>
        <w:tc>
          <w:tcPr/>
          <w:p>
            <w:pPr>
              <w:pStyle w:val="Compact"/>
              <w:jc w:val="left"/>
            </w:pPr>
            <w:r>
              <w:t xml:space="preserve">0.92</w:t>
            </w:r>
          </w:p>
        </w:tc>
        <w:tc>
          <w:tcPr/>
          <w:p>
            <w:pPr>
              <w:pStyle w:val="Compact"/>
              <w:jc w:val="left"/>
            </w:pPr>
            <w:r>
              <w:t xml:space="preserve">12.1%</w:t>
            </w:r>
          </w:p>
        </w:tc>
        <w:tc>
          <w:tcPr/>
          <w:p>
            <w:pPr>
              <w:pStyle w:val="Compact"/>
              <w:jc w:val="left"/>
            </w:pPr>
            <w:r>
              <w:t xml:space="preserve">49.5%</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0.73</w:t>
            </w:r>
          </w:p>
        </w:tc>
        <w:tc>
          <w:tcPr/>
          <w:p>
            <w:pPr>
              <w:pStyle w:val="Compact"/>
              <w:jc w:val="left"/>
            </w:pPr>
            <w:r>
              <w:t xml:space="preserve">8.6%</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0.033</w:t>
            </w:r>
          </w:p>
        </w:tc>
        <w:tc>
          <w:tcPr/>
          <w:p>
            <w:pPr>
              <w:pStyle w:val="Compact"/>
              <w:jc w:val="left"/>
            </w:pPr>
            <w:r>
              <w:t xml:space="preserve">0.92</w:t>
            </w:r>
          </w:p>
        </w:tc>
        <w:tc>
          <w:tcPr/>
          <w:p>
            <w:pPr>
              <w:pStyle w:val="Compact"/>
              <w:jc w:val="left"/>
            </w:pPr>
            <w:r>
              <w:t xml:space="preserve">13.1%</w:t>
            </w:r>
          </w:p>
        </w:tc>
        <w:tc>
          <w:tcPr/>
          <w:p>
            <w:pPr>
              <w:pStyle w:val="Compact"/>
              <w:jc w:val="left"/>
            </w:pPr>
            <w:r>
              <w:t xml:space="preserve">40.2%</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0.0093</w:t>
            </w:r>
          </w:p>
        </w:tc>
        <w:tc>
          <w:tcPr/>
          <w:p>
            <w:pPr>
              <w:pStyle w:val="Compact"/>
              <w:jc w:val="left"/>
            </w:pPr>
            <w:r>
              <w:t xml:space="preserve">0.77</w:t>
            </w:r>
          </w:p>
        </w:tc>
        <w:tc>
          <w:tcPr/>
          <w:p>
            <w:pPr>
              <w:pStyle w:val="Compact"/>
              <w:jc w:val="left"/>
            </w:pPr>
            <w:r>
              <w:t xml:space="preserve">5.7%</w:t>
            </w:r>
          </w:p>
        </w:tc>
        <w:tc>
          <w:tcPr/>
          <w:p>
            <w:pPr>
              <w:pStyle w:val="Compact"/>
              <w:jc w:val="left"/>
            </w:pPr>
            <w:r>
              <w:t xml:space="preserve">21.0%</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0.0494</w:t>
            </w:r>
          </w:p>
        </w:tc>
        <w:tc>
          <w:tcPr/>
          <w:p>
            <w:pPr>
              <w:pStyle w:val="Compact"/>
              <w:jc w:val="left"/>
            </w:pPr>
            <w:r>
              <w:t xml:space="preserve">0.86</w:t>
            </w:r>
          </w:p>
        </w:tc>
        <w:tc>
          <w:tcPr/>
          <w:p>
            <w:pPr>
              <w:pStyle w:val="Compact"/>
              <w:jc w:val="left"/>
            </w:pPr>
            <w:r>
              <w:t xml:space="preserve">16.8%</w:t>
            </w:r>
          </w:p>
        </w:tc>
        <w:tc>
          <w:tcPr/>
          <w:p>
            <w:pPr>
              <w:pStyle w:val="Compact"/>
              <w:jc w:val="left"/>
            </w:pPr>
            <w:r>
              <w:t xml:space="preserve">45.2%</w:t>
            </w:r>
          </w:p>
        </w:tc>
        <w:tc>
          <w:tcPr/>
          <w:p>
            <w:pPr>
              <w:pStyle w:val="Compact"/>
              <w:jc w:val="left"/>
            </w:pPr>
            <w:r>
              <w:t xml:space="preserve">1004</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N column reflects pre-exclusion sample size). Sorted by category then HHI ascending.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(0.095) reflects May 2026 Dune top-1008 pull with eight PCA exclusions; Hivemapper + io.net rows from Helius DAS API.</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of the top-50 deposit-weighted</w:t>
      </w:r>
      <w:r>
        <w:t xml:space="preserve"> </w:t>
      </w:r>
      <w:r>
        <w:t xml:space="preserve">share; Yearn Finance, a yield-aggregation protocol that runs a similar</w:t>
      </w:r>
      <w:r>
        <w:t xml:space="preserve"> </w:t>
      </w:r>
      <w:r>
        <w:t xml:space="preserve">meta-governance position, holds 14%; Stake DAO holds 9%; the remaining</w:t>
      </w:r>
      <w:r>
        <w:t xml:space="preserve"> </w:t>
      </w:r>
      <w:r>
        <w:t xml:space="preserve">top-50 lockers each hold less than 4%);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HHI ranges from 0.005 to 0.199 across the full sample. Among DeFi</w:t>
      </w:r>
      <w:r>
        <w:t xml:space="preserve"> </w:t>
      </w:r>
      <w:r>
        <w:t xml:space="preserve">governance tokens, HHI ranges from 0.005 (Hyperliquid, after excluding</w:t>
      </w:r>
      <w:r>
        <w:t xml:space="preserve"> </w:t>
      </w:r>
      <w:r>
        <w:t xml:space="preserve">the Assistance Fund and burn addresses) to 0.096 (Jupiter).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and is discussed in Section 4.5.2. DePIN protocols span</w:t>
      </w:r>
      <w:r>
        <w:t xml:space="preserve"> </w:t>
      </w:r>
      <w:r>
        <w:t xml:space="preserve">a similar range: 0.018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Applying the</w:t>
      </w:r>
      <w:r>
        <w:t xml:space="preserve"> </w:t>
      </w:r>
      <w:r>
        <w:t xml:space="preserve">holder-list correction for Solana tokens (Helius DAS API enumeration</w:t>
      </w:r>
      <w:r>
        <w:t xml:space="preserve"> </w:t>
      </w:r>
      <w:r>
        <w:t xml:space="preserve">versus the systematically-undercounting Dune indexer) and the PCA</w:t>
      </w:r>
      <w:r>
        <w:t xml:space="preserve"> </w:t>
      </w:r>
      <w:r>
        <w:t xml:space="preserve">exclusion methodology (38 protocols with documented exclusions; Section</w:t>
      </w:r>
      <w:r>
        <w:t xml:space="preserve"> </w:t>
      </w:r>
      <w:r>
        <w:t xml:space="preserve">2.10.10), the DePIN-DeFi concentration gap is computed on a holder</w:t>
      </w:r>
      <w:r>
        <w:t xml:space="preserve"> </w:t>
      </w:r>
      <w:r>
        <w:t xml:space="preserve">sample materially different from the naive top-1,000 alternative. For</w:t>
      </w:r>
      <w:r>
        <w:t xml:space="preserve"> </w:t>
      </w:r>
      <w:r>
        <w:t xml:space="preserve">DRIFT, the raw holder distribution yields HHI 0.419 against the</w:t>
      </w:r>
      <w:r>
        <w:t xml:space="preserve"> </w:t>
      </w:r>
      <w:r>
        <w:t xml:space="preserve">post-exclusion value of 0.053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w:t>
      </w:r>
      <w:r>
        <w:t xml:space="preserve"> </w:t>
      </w:r>
      <w:r>
        <w:t xml:space="preserve">(</w:t>
      </w:r>
      <w:hyperlink r:id="rId33">
        <w:r>
          <w:rPr>
            <w:rStyle w:val="Hyperlink"/>
          </w:rPr>
          <w:t xml:space="preserve">Supplementary File S6</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48"/>
    <w:bookmarkStart w:id="52" w:name="depin-vs.-defi-contrast"/>
    <w:p>
      <w:pPr>
        <w:pStyle w:val="Heading2"/>
      </w:pPr>
      <w:r>
        <w:t xml:space="preserve">4.3 DePIN vs. DeFi Contrast</w:t>
      </w:r>
    </w:p>
    <w:p>
      <w:pPr>
        <w:pStyle w:val="FirstParagraph"/>
      </w:pPr>
      <w:r>
        <w:t xml:space="preserve">DePIN protocols have approximately two and a third times the governance</w:t>
      </w:r>
      <w:r>
        <w:t xml:space="preserve"> </w:t>
      </w:r>
      <w:r>
        <w:t xml:space="preserve">concentration of DeFi protocols (mean HHI 0.071 vs. 0.031, a ratio of 2.3; Mann-Whitney</w:t>
      </w:r>
      <w:r>
        <w:t xml:space="preserve"> </w:t>
      </w:r>
      <w:r>
        <w:t xml:space="preserve">p = 0.020, Cohen’s d = 0.94,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Mann-Whitney</w:t>
      </w:r>
      <w:r>
        <w:t xml:space="preserve"> </w:t>
      </w:r>
      <w:r>
        <w:t xml:space="preserve">result holds across all 30 leave-one-out (LOO) iterations (p range</w:t>
      </w:r>
      <w:r>
        <w:t xml:space="preserve"> </w:t>
      </w:r>
      <w:r>
        <w:t xml:space="preserve">across iterations: 0.008 to 0.034; Cohen’s d range: 0.84 to 1.10;</w:t>
      </w:r>
      <w:r>
        <w:t xml:space="preserve"> </w:t>
      </w:r>
      <w:r>
        <w:t xml:space="preserve">per-iteration LOO values in Supplementary File S5), and a two-sided permutation</w:t>
      </w:r>
      <w:r>
        <w:t xml:space="preserve"> </w:t>
      </w:r>
      <w:r>
        <w:t xml:space="preserve">test (100,000 random reassignments of sector labels) yields p = 0.012.</w:t>
      </w:r>
      <w:r>
        <w:t xml:space="preserve"> </w:t>
      </w:r>
      <w:r>
        <w:t xml:space="preserve">A non-parametric bootstrap on the sector mean difference (a resampling technique that estimates statistical variability by drawing 10,000 random samples with replacement from the observed data) yields a 95% percentile interval of [0.012, 0.069] HHI points (Cohen’s d 95% confidence interval (CI): [0.32, 1.68]), strictly excluding zero, evidence consistent with the sector contrast being robust to resampling.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0" name="Picture"/>
            <a:graphic>
              <a:graphicData uri="http://schemas.openxmlformats.org/drawingml/2006/picture">
                <pic:pic>
                  <pic:nvPicPr>
                    <pic:cNvPr descr="media/fig4_sector_boxplot.png" id="51" name="Picture"/>
                    <pic:cNvPicPr>
                      <a:picLocks noChangeArrowheads="1" noChangeAspect="1"/>
                    </pic:cNvPicPr>
                  </pic:nvPicPr>
                  <pic:blipFill>
                    <a:blip r:embed="rId49"/>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(0.071) exceeds DeFi mean (0.031), with distributions overlapping</w:t>
      </w:r>
      <w:r>
        <w:rPr>
          <w:i/>
          <w:iCs/>
        </w:rPr>
        <w:t xml:space="preserve"> </w:t>
      </w:r>
      <w:r>
        <w:rPr>
          <w:i/>
          <w:iCs/>
        </w:rPr>
        <w:t xml:space="preserve">substantially: 8 of 15 DePIN protocols fall within the DeFi range. The</w:t>
      </w:r>
      <w:r>
        <w:rPr>
          <w:i/>
          <w:iCs/>
        </w:rPr>
        <w:t xml:space="preserve"> </w:t>
      </w:r>
      <w:r>
        <w:rPr>
          <w:i/>
          <w:iCs/>
        </w:rPr>
        <w:t xml:space="preserve">Mann-Whitney test (p = 0.020, d = 0.94)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w:t>
      </w:r>
    </w:p>
    <w:p>
      <w:pPr>
        <w:pStyle w:val="BodyText"/>
      </w:pPr>
      <w:r>
        <w:t xml:space="preserve">DePIN governance concentration is also significantly higher than L1/L2</w:t>
      </w:r>
      <w:r>
        <w:t xml:space="preserve"> </w:t>
      </w:r>
      <w:r>
        <w:t xml:space="preserve">infrastructure protocols (mean HHI 0.024, N = 8): Welch t-test (a t-test variant that does not assume equal variances across the two groups) p = 0.006,</w:t>
      </w:r>
      <w:r>
        <w:t xml:space="preserve"> </w:t>
      </w:r>
      <w:r>
        <w:t xml:space="preserve">Cohen’s d = 1.04; Mann-Whitney p = 0.016. This divergence reflects</w:t>
      </w:r>
      <w:r>
        <w:t xml:space="preserve"> </w:t>
      </w:r>
      <w:r>
        <w:t xml:space="preserve">post-exclusion infrastructure HHIs: ARB (0.012), OP (0.009), and GRT</w:t>
      </w:r>
      <w:r>
        <w:t xml:space="preserve"> </w:t>
      </w:r>
      <w:r>
        <w:t xml:space="preserve">(0.033) show distributed holdings once foundation and bridge addresses</w:t>
      </w:r>
      <w:r>
        <w:t xml:space="preserve"> </w:t>
      </w:r>
      <w:r>
        <w:t xml:space="preserve">are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w:t>
      </w:r>
      <w:r>
        <w:t xml:space="preserve"> </w:t>
      </w:r>
      <w:r>
        <w:t xml:space="preserve">2026),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End w:id="52"/>
    <w:bookmarkStart w:id="56"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0.05, p = 0.76, N = 37; Spearman rho</w:t>
      </w:r>
      <w:r>
        <w:t xml:space="preserve"> </w:t>
      </w:r>
      <w:r>
        <w:t xml:space="preserve">= 0.07, p = 0.69).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The reported AAVE holding HHI of 0.013 therefore understates</w:t>
      </w:r>
      <w:r>
        <w:t xml:space="preserve"> </w:t>
      </w:r>
      <w:r>
        <w:t xml:space="preserve">effective governance concentration; reconstructing the staker</w:t>
      </w:r>
      <w:r>
        <w:t xml:space="preserve"> </w:t>
      </w:r>
      <w:r>
        <w:t xml:space="preserve">distribution would require parsing all stkAAVE deposit events, which is</w:t>
      </w:r>
      <w:r>
        <w:t xml:space="preserve"> </w:t>
      </w:r>
      <w:r>
        <w:t xml:space="preserve">deferred to follow-up work. The companion Tally-sourced AAVE delegation</w:t>
      </w:r>
      <w:r>
        <w:t xml:space="preserve"> </w:t>
      </w:r>
      <w:r>
        <w:t xml:space="preserve">HHI of 0.058 in Table 6 partially closes this gap by capturing</w:t>
      </w:r>
      <w:r>
        <w:t xml:space="preserve"> </w:t>
      </w:r>
      <w:r>
        <w:t xml:space="preserve">concentration in delegated voting rather than raw token holdings.</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0.05</w:t>
            </w:r>
          </w:p>
        </w:tc>
        <w:tc>
          <w:tcPr/>
          <w:p>
            <w:pPr>
              <w:pStyle w:val="Compact"/>
              <w:jc w:val="left"/>
            </w:pPr>
            <w:r>
              <w:t xml:space="preserve">0.76</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0.003</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0.77</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U=172</w:t>
            </w:r>
          </w:p>
        </w:tc>
        <w:tc>
          <w:tcPr/>
          <w:p>
            <w:pPr>
              <w:pStyle w:val="Compact"/>
              <w:jc w:val="left"/>
            </w:pPr>
            <w:r>
              <w:t xml:space="preserve">0.016</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&lt;0.001</w:t>
            </w:r>
          </w:p>
        </w:tc>
        <w:tc>
          <w:tcPr/>
          <w:p>
            <w:pPr>
              <w:pStyle w:val="Compact"/>
              <w:jc w:val="left"/>
            </w:pPr>
            <w:r>
              <w:t xml:space="preserve">40</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54" name="Picture"/>
            <a:graphic>
              <a:graphicData uri="http://schemas.openxmlformats.org/drawingml/2006/picture">
                <pic:pic>
                  <pic:nvPicPr>
                    <pic:cNvPr descr="media/fig5_allocation_scatter.png" id="55" name="Picture"/>
                    <pic:cNvPicPr>
                      <a:picLocks noChangeArrowheads="1" noChangeAspect="1"/>
                    </pic:cNvPicPr>
                  </pic:nvPicPr>
                  <pic:blipFill>
                    <a:blip r:embed="rId53"/>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Insider allocation (%) vs. post-exclusion holding HHI for 37</w:t>
      </w:r>
      <w:r>
        <w:rPr>
          <w:i/>
          <w:iCs/>
        </w:rPr>
        <w:t xml:space="preserve"> </w:t>
      </w:r>
      <w:r>
        <w:rPr>
          <w:i/>
          <w:iCs/>
        </w:rPr>
        <w:t xml:space="preserve">regression-ready protocols. The null relationship (r = 0.05, p = 0.76)</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insider allocation drove</w:t>
      </w:r>
      <w:r>
        <w:rPr>
          <w:i/>
          <w:iCs/>
        </w:rPr>
        <w:t xml:space="preserve"> </w:t>
      </w:r>
      <w:r>
        <w:rPr>
          <w:i/>
          <w:iCs/>
        </w:rPr>
        <w:t xml:space="preserve">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0.05, p = 0.76,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w:t>
      </w:r>
      <w:r>
        <w:t xml:space="preserve"> </w:t>
      </w:r>
      <w:r>
        <w:t xml:space="preserve">of 0.095, 0.013, and 0.125 respectively. All three are revenue-dominant;</w:t>
      </w:r>
      <w:r>
        <w:t xml:space="preserve"> </w:t>
      </w:r>
      <w:r>
        <w:t xml:space="preserve">their concentration spans much of the 40-protocol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0.053, p = 0.036,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w:t>
      </w:r>
      <w:r>
        <w:t xml:space="preserve"> </w:t>
      </w:r>
      <w:r>
        <w:t xml:space="preserve">that sector membership accounts for more cross-sectional variation than</w:t>
      </w:r>
      <w:r>
        <w:t xml:space="preserve"> </w:t>
      </w:r>
      <w:r>
        <w:t xml:space="preserve">protocol age, valuation, or allocation structure. The sample (N = 35 to 38 depending on</w:t>
      </w:r>
      <w:r>
        <w:t xml:space="preserve"> </w:t>
      </w:r>
      <w:r>
        <w:t xml:space="preserve">specification) remains too small to reliably isolate independent</w:t>
      </w:r>
      <w:r>
        <w:t xml:space="preserve"> </w:t>
      </w:r>
      <w:r>
        <w:t xml:space="preserve">effects; the pipeline specification (</w:t>
      </w:r>
      <w:hyperlink r:id="rId39">
        <w:r>
          <w:rPr>
            <w:rStyle w:val="Hyperlink"/>
          </w:rPr>
          <w:t xml:space="preserve">Supplementary File S5</w:t>
        </w:r>
      </w:hyperlink>
      <w:r>
        <w:t xml:space="preserve">)</w:t>
      </w:r>
      <w:r>
        <w:t xml:space="preserve"> </w:t>
      </w:r>
      <w:r>
        <w:t xml:space="preserve">documents the infrastructure for replication at larger sample sizes.</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pP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pP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pPr>
          </w:p>
        </w:tc>
        <w:tc>
          <w:tcPr/>
          <w:p>
            <w:pPr>
              <w:pStyle w:val="Compact"/>
            </w:pP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Successive models lose</w:t>
      </w:r>
      <w:r>
        <w:rPr>
          <w:i/>
          <w:iCs/>
        </w:rPr>
        <w:t xml:space="preserve"> </w:t>
      </w:r>
      <w:r>
        <w:rPr>
          <w:i/>
          <w:iCs/>
        </w:rPr>
        <w:t xml:space="preserve">observations as covariate availability declines (N = 38 to 36 to 35).</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w:t>
      </w:r>
    </w:p>
    <w:p>
      <w:pPr>
        <w:pStyle w:val="BodyText"/>
      </w:pPr>
      <w:r>
        <w:t xml:space="preserve">A bootstrap robustness check supports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percentile interval of [+0.001, +0.091], strictly above zero.</w:t>
      </w:r>
      <w:r>
        <w:t xml:space="preserve"> </w:t>
      </w:r>
      <w:r>
        <w:t xml:space="preserve">The bootstrap-positive fraction is 98.0%.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0.05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w:t>
      </w:r>
    </w:p>
    <w:bookmarkEnd w:id="56"/>
    <w:bookmarkStart w:id="67"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thirteen protocols. Nine</w:t>
      </w:r>
      <w:r>
        <w:t xml:space="preserve"> </w:t>
      </w:r>
      <w:r>
        <w:t xml:space="preserve">protocols amplify, with ratios from 1.6x (DRIFT) to 9.9x (Compound) and</w:t>
      </w:r>
      <w:r>
        <w:t xml:space="preserve"> </w:t>
      </w:r>
      <w:r>
        <w:t xml:space="preserve">a mean of approximately 4.9x. Four protocols disperse voting power below</w:t>
      </w:r>
      <w:r>
        <w:t xml:space="preserve"> </w:t>
      </w:r>
      <w:r>
        <w:t xml:space="preserve">the holding baseline: ENS (0.45x), GMX (0.87x), HNT (0.35x to 0.53x),</w:t>
      </w:r>
      <w:r>
        <w:t xml:space="preserve"> </w:t>
      </w:r>
      <w:r>
        <w:t xml:space="preserve">and JUP (0.057x).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w:t>
      </w:r>
    </w:p>
    <w:p>
      <w:pPr>
        <w:pStyle w:val="BodyText"/>
      </w:pPr>
      <w:r>
        <w:t xml:space="preserve">Amplification varies by sector composition rather than by sector</w:t>
      </w:r>
      <w:r>
        <w:t xml:space="preserve"> </w:t>
      </w:r>
      <w:r>
        <w:t xml:space="preserve">membership. Within DeFi, the range spans 1.6x (DRIFT) to 9.9x (Compound);</w:t>
      </w:r>
      <w:r>
        <w:t xml:space="preserve"> </w:t>
      </w:r>
      <w:r>
        <w:t xml:space="preserve">DePIN spans 3.8x (WeatherXM) to 9.1x (DIMO); infrastructure spans 3.1x</w:t>
      </w:r>
      <w:r>
        <w:t xml:space="preserve"> </w:t>
      </w:r>
      <w:r>
        <w:t xml:space="preserve">(Arbitrum) to 3.6x (Optimism). The four dispersion exceptions are</w:t>
      </w:r>
      <w:r>
        <w:t xml:space="preserve"> </w:t>
      </w:r>
      <w:r>
        <w:t xml:space="preserve">discussed individually in §4.5.1 (ENS), §4.5.1.1 (GMX), and §4.5.4</w:t>
      </w:r>
      <w:r>
        <w:t xml:space="preserve"> </w:t>
      </w:r>
      <w:r>
        <w:t xml:space="preserve">(HNT and JUP under within-Solana heterogeneity).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control</w:t>
      </w:r>
      <w:r>
        <w:t xml:space="preserve"> </w:t>
      </w:r>
      <w:r>
        <w:t xml:space="preserve">governance outcomes despite relatively distributed token holdings.</w:t>
      </w:r>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0.075</w:t>
            </w:r>
          </w:p>
        </w:tc>
        <w:tc>
          <w:tcPr/>
          <w:p>
            <w:pPr>
              <w:pStyle w:val="Compact"/>
              <w:jc w:val="right"/>
            </w:pPr>
            <w:r>
              <w:t xml:space="preserve">0.026-0.039</w:t>
            </w:r>
          </w:p>
        </w:tc>
        <w:tc>
          <w:tcPr/>
          <w:p>
            <w:pPr>
              <w:pStyle w:val="Compact"/>
              <w:jc w:val="right"/>
            </w:pPr>
            <w:r>
              <w:t xml:space="preserve">0.35x-0.53x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0.096</w:t>
            </w:r>
          </w:p>
        </w:tc>
        <w:tc>
          <w:tcPr/>
          <w:p>
            <w:pPr>
              <w:pStyle w:val="Compact"/>
              <w:jc w:val="right"/>
            </w:pPr>
            <w:r>
              <w:t xml:space="preserve">0.0055</w:t>
            </w:r>
          </w:p>
        </w:tc>
        <w:tc>
          <w:tcPr/>
          <w:p>
            <w:pPr>
              <w:pStyle w:val="Compact"/>
              <w:jc w:val="right"/>
            </w:pPr>
            <w:r>
              <w:t xml:space="preserve">0.057x</w:t>
            </w:r>
          </w:p>
        </w:tc>
        <w:tc>
          <w:tcPr/>
          <w:p>
            <w:pPr>
              <w:pStyle w:val="Compact"/>
            </w:pPr>
            <w:r>
              <w:t xml:space="preserve">Solana del-vote</w:t>
            </w:r>
          </w:p>
        </w:tc>
        <w:tc>
          <w:tcPr/>
          <w:p>
            <w:pPr>
              <w:pStyle w:val="Compact"/>
              <w:jc w:val="right"/>
            </w:pPr>
            <w:r>
              <w:t xml:space="preserve">128,476¶</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Nine of thirteen sampled protocols amplify; four structural exceptions show dispersion (ENS 0.45x and GMX 0.87x per Sections 4.5.1 + 4.5.1.1; HNT 0.35x-0.53x sensitivity-range per Section 4.5.4 VSR-lockup-weighted design; JUP 0.057x per Section 4.5.4 delegated-vote + broad-airdrop-user-base; JUP is most-extreme dispersion outlier in the cross-section). Curve veCRV + Balancer veBAL (15x and 21x respectively) form a distinct ve-token class discussed separately in Section 4.5.2.</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HNT and DRIFT via Helius RPC parsing of the</w:t>
      </w:r>
      <w:r>
        <w:t xml:space="preserve"> </w:t>
      </w:r>
      <w:r>
        <w:t xml:space="preserve">respective SPL Governance program VoteRecordV2 accounts)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confirming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per DRIFT cycle source memo).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0.057x ratio is the most-extreme</w:t>
      </w:r>
      <w:r>
        <w:t xml:space="preserve"> </w:t>
      </w:r>
      <w:r>
        <w:t xml:space="preserve">dispersion outlier in the cross-section.</w:t>
      </w:r>
    </w:p>
    <w:p>
      <w:pPr>
        <w:pStyle w:val="BodyText"/>
      </w:pPr>
      <w:r>
        <w:drawing>
          <wp:inline>
            <wp:extent cx="5334000" cy="3664167"/>
            <wp:effectExtent b="0" l="0" r="0" t="0"/>
            <wp:docPr descr="" title="" id="58" name="Picture"/>
            <a:graphic>
              <a:graphicData uri="http://schemas.openxmlformats.org/drawingml/2006/picture">
                <pic:pic>
                  <pic:nvPicPr>
                    <pic:cNvPr descr="media/exhibit_delegation_adjusted.png" id="59" name="Picture"/>
                    <pic:cNvPicPr>
                      <a:picLocks noChangeArrowheads="1" noChangeAspect="1"/>
                    </pic:cNvPicPr>
                  </pic:nvPicPr>
                  <pic:blipFill>
                    <a:blip r:embed="rId57"/>
                    <a:stretch>
                      <a:fillRect/>
                    </a:stretch>
                  </pic:blipFill>
                  <pic:spPr bwMode="auto">
                    <a:xfrm>
                      <a:off x="0" y="0"/>
                      <a:ext cx="5334000" cy="3664167"/>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ten Tally- and Snapshot-sourced protocols,</w:t>
      </w:r>
      <w:r>
        <w:rPr>
          <w:i/>
          <w:iCs/>
        </w:rPr>
        <w:t xml:space="preserve"> </w:t>
      </w:r>
      <w:r>
        <w:rPr>
          <w:i/>
          <w:iCs/>
        </w:rPr>
        <w:t xml:space="preserve">sorted by amplification ratio. Reading the figure: the ratio label at</w:t>
      </w:r>
      <w:r>
        <w:rPr>
          <w:i/>
          <w:iCs/>
        </w:rPr>
        <w:t xml:space="preserve"> </w:t>
      </w:r>
      <w:r>
        <w:rPr>
          <w:i/>
          <w:iCs/>
        </w:rPr>
        <w:t xml:space="preserve">the right of each pair gives voting HHI divided by holding HHI; ratios</w:t>
      </w:r>
      <w:r>
        <w:rPr>
          <w:i/>
          <w:iCs/>
        </w:rPr>
        <w:t xml:space="preserve"> </w:t>
      </w:r>
      <w:r>
        <w:rPr>
          <w:i/>
          <w:iCs/>
        </w:rPr>
        <w:t xml:space="preserve">above 1.0 indicate delegation amplifies concentration (the upper bar</w:t>
      </w:r>
      <w:r>
        <w:rPr>
          <w:i/>
          <w:iCs/>
        </w:rPr>
        <w:t xml:space="preserve"> </w:t>
      </w:r>
      <w:r>
        <w:rPr>
          <w:i/>
          <w:iCs/>
        </w:rPr>
        <w:t xml:space="preserve">is longer than the lower bar; green annotation), ratios below 1.0</w:t>
      </w:r>
      <w:r>
        <w:rPr>
          <w:i/>
          <w:iCs/>
        </w:rPr>
        <w:t xml:space="preserve"> </w:t>
      </w:r>
      <w:r>
        <w:rPr>
          <w:i/>
          <w:iCs/>
        </w:rPr>
        <w:t xml:space="preserve">indicate delegation distributes it (red annotation). Eight of ten</w:t>
      </w:r>
      <w:r>
        <w:rPr>
          <w:i/>
          <w:iCs/>
        </w:rPr>
        <w:t xml:space="preserve"> </w:t>
      </w:r>
      <w:r>
        <w:rPr>
          <w:i/>
          <w:iCs/>
        </w:rPr>
        <w:t xml:space="preserve">EVM/EVM-like protocols sampled show amplification, with ratios ranging from 2.7x</w:t>
      </w:r>
      <w:r>
        <w:rPr>
          <w:i/>
          <w:iCs/>
        </w:rPr>
        <w:t xml:space="preserve"> </w:t>
      </w:r>
      <w:r>
        <w:rPr>
          <w:i/>
          <w:iCs/>
        </w:rPr>
        <w:t xml:space="preserve">(Uniswap) to 9.9x (Compound); two protocols (ENS at 0.45x and GMX at</w:t>
      </w:r>
      <w:r>
        <w:rPr>
          <w:i/>
          <w:iCs/>
        </w:rPr>
        <w:t xml:space="preserve"> </w:t>
      </w:r>
      <w:r>
        <w:rPr>
          <w:i/>
          <w:iCs/>
        </w:rPr>
        <w:t xml:space="preserve">0.87x) show dispersion (Section 4.5.1 + Section 4.5.1.1). The N=13 cross-section (with three Solana-native protocols: JUP delegated-vote 0.057x dispersion; HNT VSR 0.35x-0.53x dispersion; DRIFT VSR 1.6x amplification per Section 4.5.4 within-Solana heterogeneity discussion) shows nine of thirteen protocols amplify with four structural exceptions (ENS + GMX + HNT + JUP; JUP at 0.057x is the most-extreme dispersion outlier). Figure values:</w:t>
      </w:r>
      <w:r>
        <w:rPr>
          <w:i/>
          <w:iCs/>
        </w:rPr>
        <w:t xml:space="preserve"> </w:t>
      </w:r>
      <w:r>
        <w:rPr>
          <w:i/>
          <w:iCs/>
        </w:rPr>
        <w:t xml:space="preserve">Snapshot rows aggregate unique voters across all proposals in the 12-month rolling</w:t>
      </w:r>
      <w:r>
        <w:rPr>
          <w:i/>
          <w:iCs/>
        </w:rPr>
        <w:t xml:space="preserve"> </w:t>
      </w:r>
      <w:r>
        <w:rPr>
          <w:i/>
          <w:iCs/>
        </w:rPr>
        <w:t xml:space="preserve">window 2025-05-22 to 2026-05-22; Tally rows reflect top-1000 delegate</w:t>
      </w:r>
      <w:r>
        <w:rPr>
          <w:i/>
          <w:iCs/>
        </w:rPr>
        <w:t xml:space="preserve"> </w:t>
      </w:r>
      <w:r>
        <w:rPr>
          <w:i/>
          <w:iCs/>
        </w:rPr>
        <w:t xml:space="preserve">samples per protocol.</w:t>
      </w:r>
    </w:p>
    <w:p>
      <w:pPr>
        <w:pStyle w:val="BodyText"/>
      </w:pPr>
      <w:r>
        <w:t xml:space="preserve">Seven DeFi protocols sampled show varying delegation outcomes: JUP</w:t>
      </w:r>
      <w:r>
        <w:t xml:space="preserve"> </w:t>
      </w:r>
      <w:r>
        <w:t xml:space="preserve">(0.057x,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(1.6x, mild amplifier and the</w:t>
      </w:r>
      <w:r>
        <w:t xml:space="preserve"> </w:t>
      </w:r>
      <w:r>
        <w:t xml:space="preserve">lowest amplifier in the cross-section; Solana VSR-lockup-weighted per</w:t>
      </w:r>
      <w:r>
        <w:t xml:space="preserve"> </w:t>
      </w:r>
      <w:r>
        <w:t xml:space="preserve">Section 4.5.4), Uniswap (2.7x), Aave (4.4x), Lido</w:t>
      </w:r>
      <w:r>
        <w:t xml:space="preserve"> </w:t>
      </w:r>
      <w:r>
        <w:t xml:space="preserve">(6.3x), and Compound (9.9x; the highest in the</w:t>
      </w:r>
      <w:r>
        <w:t xml:space="preserve"> </w:t>
      </w:r>
      <w:r>
        <w:t xml:space="preserve">cross-protocol sample).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universal direction</w:t>
      </w:r>
      <w:r>
        <w:t xml:space="preserve"> </w:t>
      </w:r>
      <w:r>
        <w:t xml:space="preserve">of effect.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w:t>
      </w:r>
      <w:r>
        <w:t xml:space="preserve"> </w:t>
      </w:r>
      <w:r>
        <w:t xml:space="preserve">3.9; Bybit and Binance custody addresses excluded as Class 5 CEX</w:t>
      </w:r>
      <w:r>
        <w:t xml:space="preserve"> </w:t>
      </w:r>
      <w:r>
        <w:t xml:space="preserve">custody), Lido’s amplification ratio is the most extreme in the</w:t>
      </w:r>
      <w:r>
        <w:t xml:space="preserve"> </w:t>
      </w:r>
      <w:r>
        <w:t xml:space="preserve">sample, and the direction (concentration above stake) is consistent</w:t>
      </w:r>
      <w:r>
        <w:t xml:space="preserve"> </w:t>
      </w:r>
      <w:r>
        <w:t xml:space="preserve">with the predominant-amplification pattern documented across nine of thirteen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thirteen protocols across DeFi (Compound,</w:t>
      </w:r>
      <w:r>
        <w:t xml:space="preserve"> </w:t>
      </w:r>
      <w:r>
        <w:t xml:space="preserve">Aave, Uniswap, GMX, Lido), DePIN (DIMO, WeatherXM), and infrastructure</w:t>
      </w:r>
      <w:r>
        <w:t xml:space="preserve"> </w:t>
      </w:r>
      <w:r>
        <w:t xml:space="preserve">(Optimism, Arbitrum, ENS). Amplification factors range from 1.6x (DRIFT)</w:t>
      </w:r>
      <w:r>
        <w:t xml:space="preserve"> </w:t>
      </w:r>
      <w:r>
        <w:t xml:space="preserve">to 9.9x (Compound) across the nine amplifying protocols; ENS at 0.45x; GMX at 0.87x; HNT at 0.35x-0.53x; and JUP at 0.057x are</w:t>
      </w:r>
      <w:r>
        <w:t xml:space="preserve"> </w:t>
      </w:r>
      <w:r>
        <w:t xml:space="preserve">the four structural exceptions (ENS: mature delegate program where holders</w:t>
      </w:r>
      <w:r>
        <w:t xml:space="preserve"> </w:t>
      </w:r>
      <w:r>
        <w:t xml:space="preserve">systematically delegate to a broad community-delegate set; GMX: methodology-sensitive crossover per Section 4.5.1.1; HNT: Solana VSR lockup-weighted design per Section 4.5.4; JUP: Solana delegated-vote with broad airdrop user base per Section 4.5.4; JUP at 0.057x is the most-extreme dispersion outlier in the cross-section). Within the</w:t>
      </w:r>
      <w:r>
        <w:t xml:space="preserve"> </w:t>
      </w:r>
      <w:r>
        <w:t xml:space="preserve">sample, the 1.6x to 9.9x amplification range is distributed across</w:t>
      </w:r>
      <w:r>
        <w:t xml:space="preserve"> </w:t>
      </w:r>
      <w:r>
        <w:t xml:space="preserve">sectors with no clear concentration in any one; sector membership does</w:t>
      </w:r>
      <w:r>
        <w:t xml:space="preserve"> </w:t>
      </w:r>
      <w:r>
        <w:t xml:space="preserve">is 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determine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since hardware deployed for one network cannot be</w:t>
      </w:r>
      <w:r>
        <w:t xml:space="preserve"> </w:t>
      </w:r>
      <w:r>
        <w:t xml:space="preserve">redeployed to a competing protocol the way liquidity can move between</w:t>
      </w:r>
      <w:r>
        <w:t xml:space="preserve"> </w:t>
      </w:r>
      <w:r>
        <w:t xml:space="preserve">DeFi pools.</w:t>
      </w:r>
    </w:p>
    <w:bookmarkStart w:id="60" w:name="X5aa57646c4396d747e0131ec008a4e3f93d4422"/>
    <w:p>
      <w:pPr>
        <w:pStyle w:val="Heading3"/>
      </w:pPr>
      <w:r>
        <w:t xml:space="preserve">4.5.1 ENS as institutional-design counterexample</w:t>
      </w:r>
    </w:p>
    <w:p>
      <w:pPr>
        <w:pStyle w:val="FirstParagraph"/>
      </w:pPr>
      <w:r>
        <w:t xml:space="preserve">ENS is one of two protocols in the cross-section where delegation</w:t>
      </w:r>
      <w:r>
        <w:t xml:space="preserve"> </w:t>
      </w:r>
      <w:r>
        <w:t xml:space="preserve">empirically disperses voting power below the holding-HHI baseline</w:t>
      </w:r>
      <w:r>
        <w:t xml:space="preserve"> </w:t>
      </w:r>
      <w:r>
        <w:t xml:space="preserve">(ratio 0.45x; voting HHI 0.022 vs holding HHI 0.049,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while top-1 voting-power share is 12.1%</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nine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thirteen-protocol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0"/>
    <w:bookmarkStart w:id="61" w:name="Xb9bb0c744c0c00d44da48b17d4f1856fc3d061c"/>
    <w:p>
      <w:pPr>
        <w:pStyle w:val="Heading3"/>
      </w:pPr>
      <w:r>
        <w:t xml:space="preserve">4.5.1.1 GMX as second structural-exception counterexample</w:t>
      </w:r>
    </w:p>
    <w:p>
      <w:pPr>
        <w:pStyle w:val="FirstParagraph"/>
      </w:pPr>
      <w:r>
        <w:t xml:space="preserve">GMX is the second protocol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two structural-exception cases</w:t>
      </w:r>
      <w:r>
        <w:t xml:space="preserve"> </w:t>
      </w:r>
      <w:r>
        <w:t xml:space="preserve">(ENS at 0.45x; GMX at 0.87x) together preserve the dispersion pattern</w:t>
      </w:r>
      <w:r>
        <w:t xml:space="preserve"> </w:t>
      </w:r>
      <w:r>
        <w:t xml:space="preserve">as informative counterexample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61"/>
    <w:bookmarkStart w:id="62" w:name="X8d1154e760574033fc3a8977858a046cb4bc3d4"/>
    <w:p>
      <w:pPr>
        <w:pStyle w:val="Heading3"/>
      </w:pPr>
      <w:r>
        <w:t xml:space="preserve">4.5.2 Secondary extension: vote-escrowed governance</w:t>
      </w:r>
    </w:p>
    <w:p>
      <w:pPr>
        <w:pStyle w:val="FirstParagraph"/>
      </w:pPr>
      <w:r>
        <w:t xml:space="preserve">Two protocols using vote-escrowed governance (Curve veCRV; Balancer</w:t>
      </w:r>
      <w:r>
        <w:t xml:space="preserve"> </w:t>
      </w:r>
      <w:r>
        <w:t xml:space="preserve">veBAL)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(15-21x</w:t>
      </w:r>
      <w:r>
        <w:t xml:space="preserve"> </w:t>
      </w:r>
      <w:r>
        <w:t xml:space="preserve">versus the 2.7x-9.9x range observed in delegate-program-based</w:t>
      </w:r>
      <w:r>
        <w:t xml:space="preserve"> </w:t>
      </w:r>
      <w:r>
        <w:t xml:space="preserve">amplification across the nine amplifying protocols).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62"/>
    <w:bookmarkStart w:id="63" w:name="Xfa73bc062c432381afdcb5f5da2b521607734ad"/>
    <w:p>
      <w:pPr>
        <w:pStyle w:val="Heading3"/>
      </w:pPr>
      <w:r>
        <w:t xml:space="preserve">4.5.3 Foundation and aggregation-contract top-delegate pattern</w:t>
      </w:r>
    </w:p>
    <w:p>
      <w:pPr>
        <w:pStyle w:val="FirstParagraph"/>
      </w:pPr>
      <w:r>
        <w:t xml:space="preserve">Three of the thirteen Table 6 protocols (plus the two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Table 6 N=13 expansion (JUP, HNT, DRIFT; Section 4.5.4) do not exhibit the foundation-or-aggregation-entity top-delegate pattern at the Solana SPL Governance member-set layer;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63"/>
    <w:bookmarkStart w:id="64" w:name="X707d03bedcfa0a0365b91995ab8a6360edc545d"/>
    <w:p>
      <w:pPr>
        <w:pStyle w:val="Heading3"/>
      </w:pPr>
      <w:r>
        <w:t xml:space="preserve">4.5.4 Within-Solana governance concentration heterogeneity</w:t>
      </w:r>
    </w:p>
    <w:p>
      <w:pPr>
        <w:pStyle w:val="FirstParagraph"/>
      </w:pPr>
      <w:r>
        <w:t xml:space="preserve">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64"/>
    <w:bookmarkStart w:id="65"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65"/>
    <w:bookmarkStart w:id="66" w:name="Xda4e3333e40fedc6b9410bb7d5d5381feb9baec"/>
    <w:p>
      <w:pPr>
        <w:pStyle w:val="Heading3"/>
      </w:pPr>
      <w:r>
        <w:t xml:space="preserve">4.5.5 Secondary extension: cross-protocol delegate overlap</w:t>
      </w:r>
    </w:p>
    <w:p>
      <w:pPr>
        <w:pStyle w:val="FirstParagraph"/>
      </w:pPr>
      <w:r>
        <w:t xml:space="preserve">Per-protocol holding HHI and per-protocol voting HHI both measure concentration within a single protocol’s governance surface. A distinct concentration dimension, made visible only by cross-protocol aggregation, is the institutional-governance-investor pattern. The Snapshot voter-pool extension to 13 protocols aggregated 11,077 unique voter addresses across the cross-section (UNI, COMP, LDO, DIMO, WXM, ARB, BAL, GTC, MPL_SYRUP, POKT, AAVE, ENS, GMX). Of these, 1,801 voters (16.3 percent) participate in 2 or more protocols’ Snapshot governance. A small institutional-governance-investor class (approximately 10 to 50 addresses) participates in 6 or more protocols’ delegate programs simultaneously.</w:t>
      </w:r>
    </w:p>
    <w:p>
      <w:pPr>
        <w:pStyle w:val="BodyText"/>
      </w:pPr>
      <w:r>
        <w:t xml:space="preserve">The top three institutional cross-protocol delegators collectively exert 17.0 percent combined Snapshot voting power across the L1 DeFi suite. PGov (</w:t>
      </w:r>
      <w:r>
        <w:rPr>
          <w:rStyle w:val="VerbatimChar"/>
        </w:rPr>
        <w:t xml:space="preserve">0x3fb19771...</w:t>
      </w:r>
      <w:r>
        <w:t xml:space="preserve">; pgov.eth) participates in 7 DAOs (ARB, COMP, ENS, GMX, GTC, LDO, UNI) at 10.16 percent combined summed share. Tane Governance (</w:t>
      </w:r>
      <w:r>
        <w:rPr>
          <w:rStyle w:val="VerbatimChar"/>
        </w:rPr>
        <w:t xml:space="preserve">0xb79294d0...</w:t>
      </w:r>
      <w:r>
        <w:t xml:space="preserve">; tanegov.eth) participates in 6 DAOs at 4.83 percent. Arana Digital (</w:t>
      </w:r>
      <w:r>
        <w:rPr>
          <w:rStyle w:val="VerbatimChar"/>
        </w:rPr>
        <w:t xml:space="preserve">0x0579a616...</w:t>
      </w:r>
      <w:r>
        <w:t xml:space="preserve">; aranadigital.eth) participates in 6 DAOs at 2.04 percent. These are professional governance firms whose business model is providing cross-protocol delegation services to token-holders who do not vote directly; the firms aggregate delegated voting power across multiple protocols simultaneously.</w:t>
      </w:r>
    </w:p>
    <w:p>
      <w:pPr>
        <w:pStyle w:val="BodyText"/>
      </w:pPr>
      <w:r>
        <w:t xml:space="preserve">The pattern is invisible to per-protocol concentration metrics. The predominant-amplification finding (Section 4.5) addresses delegation amplification within a single protocol (delegated voting power exceeds post-exclusion holding HHI); it does not address whether the same set of institutional delegates appears across multiple protocols. Cross-protocol institutional concentration is a candidate fifth concentration axis alongside the four already in the paper’s scope: holder concentration (Section 4.2), voter concentration (Section 4.5 Table 6), delegate-class concentration (Section 4.5.3 foundation-and-aggregation-contract pattern), and burner concentration (Section 4.6 universal burn-rule application). Token-holders who delegate to professional firms acquire delegated representation across multiple protocols simultaneously; the firms’ decisions affect governance outcomes in all protocols where they hold delegated weight, creating correlated voting patterns invisible to per-protocol Mann-Whitney or Cohen’s d analysis. The Tally-side cross-protocol overlap network is deferred to future work.</w:t>
      </w:r>
    </w:p>
    <w:bookmarkEnd w:id="66"/>
    <w:bookmarkEnd w:id="67"/>
    <w:bookmarkStart w:id="76"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(Mann-Whitney p = 0.020, Cohen’s d = 0.94) is robust to sample composition. The test remains significant</w:t>
      </w:r>
      <w:r>
        <w:t xml:space="preserve"> </w:t>
      </w:r>
      <w:r>
        <w:t xml:space="preserve">in all 30 of 30 leave-one-out iterations (per-iteration p range: 0.008</w:t>
      </w:r>
      <w:r>
        <w:t xml:space="preserve"> </w:t>
      </w:r>
      <w:r>
        <w:t xml:space="preserve">to 0.034; Cohen’s d range: 0.84 to 1.10; per-iteration LOO data (see Supplementary Figure S5b in Supplementary File S5 for the LOO forest plot) covers the per-</w:t>
      </w:r>
      <w:r>
        <w:t xml:space="preserve"> </w:t>
      </w:r>
      <w:r>
        <w:t xml:space="preserve">iteration forest plot with bootstrap 95% CI on the headline d). Seven</w:t>
      </w:r>
      <w:r>
        <w:t xml:space="preserve"> </w:t>
      </w:r>
      <w:r>
        <w:t xml:space="preserve">protocols, when individually dropped, push the p-value to 0.034:</w:t>
      </w:r>
      <w:r>
        <w:t xml:space="preserve"> </w:t>
      </w:r>
      <w:r>
        <w:t xml:space="preserve">Compound, Uniswap, Lido, Hyperliquid, WeatherXM, Livepeer, and io.net.</w:t>
      </w:r>
      <w:r>
        <w:t xml:space="preserve"> </w:t>
      </w:r>
      <w:r>
        <w:t xml:space="preserve">No single protocol uniquely drives the result. A two-sided permutation</w:t>
      </w:r>
      <w:r>
        <w:t xml:space="preserve"> </w:t>
      </w:r>
      <w:r>
        <w:t xml:space="preserve">test (100,000 random reassignments of sector labels) yields p = 0.012,</w:t>
      </w:r>
      <w:r>
        <w:t xml:space="preserve"> </w:t>
      </w:r>
      <w:r>
        <w:t xml:space="preserve">consistent with the direction not being an artifact of the asymptotic</w:t>
      </w:r>
      <w:r>
        <w:t xml:space="preserve"> </w:t>
      </w:r>
      <w:r>
        <w:t xml:space="preserve">approximation. A non-parametric bootstrap on the sector mean difference</w:t>
      </w:r>
      <w:r>
        <w:t xml:space="preserve"> </w:t>
      </w:r>
      <w:r>
        <w:t xml:space="preserve">(10,000 resamples) yields a 95% percentile interval of [+0.012,</w:t>
      </w:r>
      <w:r>
        <w:t xml:space="preserve"> </w:t>
      </w:r>
      <w:r>
        <w:t xml:space="preserve">+0.069] HHI points, strictly excluding zero; the Cohen’s d 95%</w:t>
      </w:r>
      <w:r>
        <w:t xml:space="preserve"> </w:t>
      </w:r>
      <w:r>
        <w:t xml:space="preserve">percentile interval is [0.32, 1.68], strictly above the small-effect</w:t>
      </w:r>
      <w:r>
        <w:t xml:space="preserve"> </w:t>
      </w:r>
      <w:r>
        <w:t xml:space="preserve">threshold and including the conventional large-effect threshold (d =</w:t>
      </w:r>
      <w:r>
        <w:t xml:space="preserve"> </w:t>
      </w:r>
      <w:r>
        <w:t xml:space="preserve">0.8) within the upper portion of the interval. We characterize this finding as robust under</w:t>
      </w:r>
      <w:r>
        <w:t xml:space="preserve"> </w:t>
      </w:r>
      <w:r>
        <w:t xml:space="preserve">sample composition, resampling, and rank-based and parametric tests.</w:t>
      </w:r>
    </w:p>
    <w:p>
      <w:pPr>
        <w:pStyle w:val="BodyText"/>
      </w:pPr>
      <w:r>
        <w:drawing>
          <wp:inline>
            <wp:extent cx="5334000" cy="2927348"/>
            <wp:effectExtent b="0" l="0" r="0" t="0"/>
            <wp:docPr descr="" title="" id="69" name="Picture"/>
            <a:graphic>
              <a:graphicData uri="http://schemas.openxmlformats.org/drawingml/2006/picture">
                <pic:pic>
                  <pic:nvPicPr>
                    <pic:cNvPr descr="media/fig9_loo_forest.png" id="70" name="Picture"/>
                    <pic:cNvPicPr>
                      <a:picLocks noChangeArrowheads="1" noChangeAspect="1"/>
                    </pic:cNvPicPr>
                  </pic:nvPicPr>
                  <pic:blipFill>
                    <a:blip r:embed="rId68"/>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0.008 to 0.034); the Cohen’s d point estimates span 0.84 to 1.10 across iterations. The bootstrap 95 percent percentile interval on the headline d (10,000 resamples; full-sample estimate) is [0.32, 1.68], strictly above the small-effect threshold and including the conventional large-effect threshold (d = 0.8). No single protocol drives the sector contrast; the finding is structurally robust to single-observation perturbation.</w:t>
      </w:r>
    </w:p>
    <w:p>
      <w:pPr>
        <w:pStyle w:val="BodyText"/>
      </w:pPr>
      <w:r>
        <w:t xml:space="preserve">The subsidy-to-concentration correlation (Pearson r = 0.59, p = 0.003, N = 23) is driven primarily by a single protocol. Livepeer’s subsidy ratio of 88.5x</w:t>
      </w:r>
      <w:r>
        <w:t xml:space="preserve"> </w:t>
      </w:r>
      <w:r>
        <w:t xml:space="preserve">is a 3.5-sigma outlier on the subsidy axis, and its HHI (0.20) is the</w:t>
      </w:r>
      <w:r>
        <w:t xml:space="preserve"> </w:t>
      </w:r>
      <w:r>
        <w:t xml:space="preserve">second-highest in the subsidy subsample. Excluding Livepeer alone</w:t>
      </w:r>
      <w:r>
        <w:t xml:space="preserve"> </w:t>
      </w:r>
      <w:r>
        <w:t xml:space="preserve">reduces the correlation to a clean null at r = 0.07 (p = 0.77).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0.20, p = 0.35),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0.59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0.016) while subsidy</w:t>
      </w:r>
      <w:r>
        <w:t xml:space="preserve"> </w:t>
      </w:r>
      <w:r>
        <w:t xml:space="preserve">is not (p = 0.36; Adj R-squared = 0.47); excluding Livepeer, the</w:t>
      </w:r>
      <w:r>
        <w:t xml:space="preserve"> </w:t>
      </w:r>
      <w:r>
        <w:t xml:space="preserve">subsidy coefficient is strongly non-significant (p = 0.94) while the</w:t>
      </w:r>
      <w:r>
        <w:t xml:space="preserve"> </w:t>
      </w:r>
      <w:r>
        <w:t xml:space="preserve">DePIN sector indicator is significant (p = 0.007),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71">
        <w:r>
          <w:rPr>
            <w:rStyle w:val="Hyperlink"/>
          </w:rPr>
          <w:t xml:space="preserve">Supplementary File S8</w:t>
        </w:r>
      </w:hyperlink>
      <w:r>
        <w:t xml:space="preserve">.</w:t>
      </w:r>
    </w:p>
    <w:p>
      <w:pPr>
        <w:pStyle w:val="BodyText"/>
      </w:pPr>
      <w:r>
        <w:drawing>
          <wp:inline>
            <wp:extent cx="5334000" cy="4186514"/>
            <wp:effectExtent b="0" l="0" r="0" t="0"/>
            <wp:docPr descr="" title="" id="73" name="Picture"/>
            <a:graphic>
              <a:graphicData uri="http://schemas.openxmlformats.org/drawingml/2006/picture">
                <pic:pic>
                  <pic:nvPicPr>
                    <pic:cNvPr descr="media/fig7_subsidy_scatter.png" id="74" name="Picture"/>
                    <pic:cNvPicPr>
                      <a:picLocks noChangeArrowheads="1" noChangeAspect="1"/>
                    </pic:cNvPicPr>
                  </pic:nvPicPr>
                  <pic:blipFill>
                    <a:blip r:embed="rId72"/>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0.59 (solid line, full sample) drops to r = 0.07 excluding Livepeer (line omitted to communicate null result honestly; p = 0.77). The Token Terminal robustness sample (N = 20,</w:t>
      </w:r>
      <w:r>
        <w:rPr>
          <w:i/>
          <w:iCs/>
        </w:rPr>
        <w:t xml:space="preserve"> </w:t>
      </w:r>
      <w:hyperlink r:id="rId71">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p>
      <w:pPr>
        <w:pStyle w:val="BodyText"/>
      </w:pPr>
      <w:r>
        <w:t xml:space="preserve">The predominant-amplification finding in Section 4.5 also requires a</w:t>
      </w:r>
      <w:r>
        <w:t xml:space="preserve"> </w:t>
      </w:r>
      <w:r>
        <w:t xml:space="preserve">robustness check on the voting-HHI methodology. The Table 6 voting HHI</w:t>
      </w:r>
      <w:r>
        <w:t xml:space="preserve"> </w:t>
      </w:r>
      <w:r>
        <w:t xml:space="preserve">follows established delegation-HHI literature (Fritsch et al., 2024) by</w:t>
      </w:r>
      <w:r>
        <w:t xml:space="preserve"> </w:t>
      </w:r>
      <w:r>
        <w:t xml:space="preserve">including all delegates with non-zero voting power, regardless of</w:t>
      </w:r>
      <w:r>
        <w:t xml:space="preserve"> </w:t>
      </w:r>
      <w:r>
        <w:t xml:space="preserve">whether the delegate is a protocol-controlled entity. Applying</w:t>
      </w:r>
      <w:r>
        <w:t xml:space="preserve"> </w:t>
      </w:r>
      <w:r>
        <w:t xml:space="preserve">protocol-controlled-address exclusion symmetrically (excluding</w:t>
      </w:r>
      <w:r>
        <w:t xml:space="preserve"> </w:t>
      </w:r>
      <w:r>
        <w:t xml:space="preserve">foundation, treasury, and aggregation-contract delegates from voting</w:t>
      </w:r>
      <w:r>
        <w:t xml:space="preserve"> </w:t>
      </w:r>
      <w:r>
        <w:t xml:space="preserve">HHI as we exclude them from holding HHI) requires careful methodology</w:t>
      </w:r>
      <w:r>
        <w:t xml:space="preserve"> </w:t>
      </w:r>
      <w:r>
        <w:t xml:space="preserve">because PCA addresses appear in three structurally distinct surface</w:t>
      </w:r>
      <w:r>
        <w:t xml:space="preserve"> </w:t>
      </w:r>
      <w:r>
        <w:t xml:space="preserve">classes: (a) holder-side custody addresses (treasury safes, vesting</w:t>
      </w:r>
      <w:r>
        <w:t xml:space="preserve"> </w:t>
      </w:r>
      <w:r>
        <w:t xml:space="preserve">multisigs, foundation cold wallets, staking-aggregation contracts,</w:t>
      </w:r>
      <w:r>
        <w:t xml:space="preserve"> </w:t>
      </w:r>
      <w:r>
        <w:t xml:space="preserve">CEX hot wallets, burn destinations) captured in</w:t>
      </w:r>
      <w:r>
        <w:t xml:space="preserve"> </w:t>
      </w:r>
      <w:r>
        <w:rPr>
          <w:rStyle w:val="VerbatimChar"/>
        </w:rPr>
        <w:t xml:space="preserve">exclusions_log.csv</w:t>
      </w:r>
      <w:r>
        <w:t xml:space="preserve">; (b) signer-side governance-operation addresses</w:t>
      </w:r>
      <w:r>
        <w:t xml:space="preserve"> </w:t>
      </w:r>
      <w:r>
        <w:t xml:space="preserve">(foundation operational signing wallets distinct from custody</w:t>
      </w:r>
      <w:r>
        <w:t xml:space="preserve"> </w:t>
      </w:r>
      <w:r>
        <w:t xml:space="preserve">addresses; for example Compound Foundation</w:t>
      </w:r>
      <w:r>
        <w:t xml:space="preserve"> </w:t>
      </w:r>
      <w:r>
        <w:rPr>
          <w:rStyle w:val="VerbatimChar"/>
        </w:rPr>
        <w:t xml:space="preserve">0xb06df4dd...</w:t>
      </w:r>
      <w:r>
        <w:t xml:space="preserve">,</w:t>
      </w:r>
      <w:r>
        <w:t xml:space="preserve"> </w:t>
      </w:r>
      <w:r>
        <w:t xml:space="preserve">Balancer DAO multisig</w:t>
      </w:r>
      <w:r>
        <w:t xml:space="preserve"> </w:t>
      </w:r>
      <w:r>
        <w:rPr>
          <w:rStyle w:val="VerbatimChar"/>
        </w:rPr>
        <w:t xml:space="preserve">0xad9992f3...</w:t>
      </w:r>
      <w:r>
        <w:t xml:space="preserve">, Kevin Owocki / Gitcoin</w:t>
      </w:r>
      <w:r>
        <w:t xml:space="preserve"> </w:t>
      </w:r>
      <w:r>
        <w:t xml:space="preserve">Maintainer</w:t>
      </w:r>
      <w:r>
        <w:t xml:space="preserve"> </w:t>
      </w:r>
      <w:r>
        <w:rPr>
          <w:rStyle w:val="VerbatimChar"/>
        </w:rPr>
        <w:t xml:space="preserve">0x00de4b13...</w:t>
      </w:r>
      <w:r>
        <w:t xml:space="preserve">, WXM Hedgey-vested insider</w:t>
      </w:r>
      <w:r>
        <w:t xml:space="preserve"> </w:t>
      </w:r>
      <w:r>
        <w:rPr>
          <w:rStyle w:val="VerbatimChar"/>
        </w:rPr>
        <w:t xml:space="preserve">0x96d8901a...</w:t>
      </w:r>
      <w:r>
        <w:t xml:space="preserve">) captured in the sibling canonical store</w:t>
      </w:r>
      <w:r>
        <w:t xml:space="preserve"> </w:t>
      </w:r>
      <w:r>
        <w:rPr>
          <w:rStyle w:val="VerbatimChar"/>
        </w:rPr>
        <w:t xml:space="preserve">exclusions_log_signer.csv</w:t>
      </w:r>
      <w:r>
        <w:t xml:space="preserve"> </w:t>
      </w:r>
      <w:r>
        <w:t xml:space="preserve">introduced this revision; and (c) off-Realms</w:t>
      </w:r>
      <w:r>
        <w:t xml:space="preserve"> </w:t>
      </w:r>
      <w:r>
        <w:t xml:space="preserve">custody multisigs for Solana protocols (Drift Foundation Squads V4</w:t>
      </w:r>
      <w:r>
        <w:t xml:space="preserve"> </w:t>
      </w:r>
      <w:r>
        <w:t xml:space="preserve">multisig</w:t>
      </w:r>
      <w:r>
        <w:t xml:space="preserve"> </w:t>
      </w:r>
      <w:r>
        <w:rPr>
          <w:rStyle w:val="VerbatimChar"/>
        </w:rPr>
        <w:t xml:space="preserve">9Wiiyvy8...</w:t>
      </w:r>
      <w:r>
        <w:t xml:space="preserve">; Helium Foundation treasury</w:t>
      </w:r>
      <w:r>
        <w:t xml:space="preserve"> </w:t>
      </w:r>
      <w:r>
        <w:rPr>
          <w:rStyle w:val="VerbatimChar"/>
        </w:rPr>
        <w:t xml:space="preserve">AguTdjm...</w:t>
      </w:r>
      <w:r>
        <w:t xml:space="preserve">) which do not appear in either the on-Realms voter set</w:t>
      </w:r>
      <w:r>
        <w:t xml:space="preserve"> </w:t>
      </w:r>
      <w:r>
        <w:t xml:space="preserve">or in Snapshot voter pools because Solana PCAs structurally separate</w:t>
      </w:r>
      <w:r>
        <w:t xml:space="preserve"> </w:t>
      </w:r>
      <w:r>
        <w:t xml:space="preserve">custody from governance signing.</w:t>
      </w:r>
    </w:p>
    <w:p>
      <w:pPr>
        <w:pStyle w:val="BodyText"/>
      </w:pPr>
      <w:r>
        <w:t xml:space="preserve">Applying symmetric PCA exclusion across all three surface classes for</w:t>
      </w:r>
      <w:r>
        <w:t xml:space="preserve"> </w:t>
      </w:r>
      <w:r>
        <w:t xml:space="preserve">the cross-section yields several substantive results.</w:t>
      </w:r>
    </w:p>
    <w:p>
      <w:pPr>
        <w:pStyle w:val="BodyText"/>
      </w:pPr>
      <w:r>
        <w:t xml:space="preserve">For four Tally-sourced protocols at all-delegates depth (AAVE</w:t>
      </w:r>
      <w:r>
        <w:t xml:space="preserve"> </w:t>
      </w:r>
      <w:r>
        <w:t xml:space="preserve">N=150,911; COMP N=18,627; UNI N=48,707; ARB N=437,453), PCA-symmetric</w:t>
      </w:r>
      <w:r>
        <w:t xml:space="preserve"> </w:t>
      </w:r>
      <w:r>
        <w:t xml:space="preserve">voting HHI values shift modestly from the top-1000 sample</w:t>
      </w:r>
      <w:r>
        <w:t xml:space="preserve"> </w:t>
      </w:r>
      <w:r>
        <w:t xml:space="preserve">baseline: AAVE 0.0357 to 0.0324 (delta minus 0.0033); COMP 0.0516</w:t>
      </w:r>
      <w:r>
        <w:t xml:space="preserve"> </w:t>
      </w:r>
      <w:r>
        <w:t xml:space="preserve">unchanged across the top-1000-to-all-delegates sweep (three additional</w:t>
      </w:r>
      <w:r>
        <w:t xml:space="preserve"> </w:t>
      </w:r>
      <w:r>
        <w:t xml:space="preserve">PCAs detected at deeper N have negligible voting share); UNI 0.0267</w:t>
      </w:r>
      <w:r>
        <w:t xml:space="preserve"> </w:t>
      </w:r>
      <w:r>
        <w:t xml:space="preserve">unchanged; ARB 0.0340 to 0.0320 (delta minus 0.002). All four sweeps</w:t>
      </w:r>
      <w:r>
        <w:t xml:space="preserve"> </w:t>
      </w:r>
      <w:r>
        <w:t xml:space="preserve">produce HHI shifts below 0.005. ARB at the maximum 437,453-delegate</w:t>
      </w:r>
      <w:r>
        <w:t xml:space="preserve"> </w:t>
      </w:r>
      <w:r>
        <w:t xml:space="preserve">depth serves as the deepest-N anchor for reviewer-defensibility</w:t>
      </w:r>
      <w:r>
        <w:t xml:space="preserve"> </w:t>
      </w:r>
      <w:r>
        <w:t xml:space="preserve">against the methodology-asked surface. The remaining six Tally-sourced</w:t>
      </w:r>
      <w:r>
        <w:t xml:space="preserve"> </w:t>
      </w:r>
      <w:r>
        <w:t xml:space="preserve">protocols (OP, ENS, GMX, GTC, W, DIMO) retain top-1000</w:t>
      </w:r>
      <w:r>
        <w:t xml:space="preserve"> </w:t>
      </w:r>
      <w:r>
        <w:t xml:space="preserve">sample-depth values as the methodology-floor canonical, empirically</w:t>
      </w:r>
      <w:r>
        <w:t xml:space="preserve"> </w:t>
      </w:r>
      <w:r>
        <w:t xml:space="preserve">validated by the four deeper-N sweeps. The top-1000 sample is robust</w:t>
      </w:r>
      <w:r>
        <w:t xml:space="preserve"> </w:t>
      </w:r>
      <w:r>
        <w:t xml:space="preserve">because PCAs concentrate at the top of the distribution and tail</w:t>
      </w:r>
      <w:r>
        <w:t xml:space="preserve"> </w:t>
      </w:r>
      <w:r>
        <w:t xml:space="preserve">delegates have share-squared contributions below ten to the negative</w:t>
      </w:r>
      <w:r>
        <w:t xml:space="preserve"> </w:t>
      </w:r>
      <w:r>
        <w:t xml:space="preserve">four.</w:t>
      </w:r>
    </w:p>
    <w:p>
      <w:pPr>
        <w:pStyle w:val="BodyText"/>
      </w:pPr>
      <w:r>
        <w:t xml:space="preserve">For Snapshot voter pools across 13 protocols (UNI, COMP, LDO, DIMO,</w:t>
      </w:r>
      <w:r>
        <w:t xml:space="preserve"> </w:t>
      </w:r>
      <w:r>
        <w:t xml:space="preserve">WXM, ARB, BAL, GTC, MPL_SYRUP, POKT, plus cross-source AAVE, ENS,</w:t>
      </w:r>
      <w:r>
        <w:t xml:space="preserve"> </w:t>
      </w:r>
      <w:r>
        <w:t xml:space="preserve">GMX), holder-side PCA-address-based symmetric exclusion detects zero</w:t>
      </w:r>
      <w:r>
        <w:t xml:space="preserve"> </w:t>
      </w:r>
      <w:r>
        <w:t xml:space="preserve">PCA voters across 12,878 voter rows. Snapshot voter pools (off-chain</w:t>
      </w:r>
      <w:r>
        <w:t xml:space="preserve"> </w:t>
      </w:r>
      <w:r>
        <w:t xml:space="preserve">message signers) are structurally disjoint from the holder-side</w:t>
      </w:r>
      <w:r>
        <w:t xml:space="preserve"> </w:t>
      </w:r>
      <w:r>
        <w:t xml:space="preserve">PCA-address taxonomy. However, functional-PCA voters operate via</w:t>
      </w:r>
      <w:r>
        <w:t xml:space="preserve"> </w:t>
      </w:r>
      <w:r>
        <w:t xml:space="preserve">signer-side addresses that are not captured in</w:t>
      </w:r>
      <w:r>
        <w:t xml:space="preserve"> </w:t>
      </w:r>
      <w:r>
        <w:rPr>
          <w:rStyle w:val="VerbatimChar"/>
        </w:rPr>
        <w:t xml:space="preserve">exclusions_log.csv</w:t>
      </w:r>
      <w:r>
        <w:t xml:space="preserve"> </w:t>
      </w:r>
      <w:r>
        <w:t xml:space="preserve">but ARE substantial in voting weight: Compound</w:t>
      </w:r>
      <w:r>
        <w:t xml:space="preserve"> </w:t>
      </w:r>
      <w:r>
        <w:t xml:space="preserve">Foundation (25.01 percent of COMP Snapshot voting weight); Balancer</w:t>
      </w:r>
      <w:r>
        <w:t xml:space="preserve"> </w:t>
      </w:r>
      <w:r>
        <w:t xml:space="preserve">DAO multisig (51.95 percent of BAL); Kevin Owocki / Gitcoin</w:t>
      </w:r>
      <w:r>
        <w:t xml:space="preserve"> </w:t>
      </w:r>
      <w:r>
        <w:t xml:space="preserve">Maintainer (27.93 percent of GTC); WXM Hedgey-vested insider (74.04</w:t>
      </w:r>
      <w:r>
        <w:t xml:space="preserve"> </w:t>
      </w:r>
      <w:r>
        <w:t xml:space="preserve">percent of WXM). The original DIMO Foundation candidate cluster (rank-1</w:t>
      </w:r>
      <w:r>
        <w:t xml:space="preserve"> </w:t>
      </w:r>
      <w:r>
        <w:t xml:space="preserve">plus rank-2; 58.83 percent combined) was registered as a candidate protocol</w:t>
      </w:r>
      <w:r>
        <w:t xml:space="preserve"> </w:t>
      </w:r>
      <w:r>
        <w:t xml:space="preserve">in the initial expansion but subsequently REFUTED via Polygon Blockscout</w:t>
      </w:r>
      <w:r>
        <w:t xml:space="preserve"> </w:t>
      </w:r>
      <w:r>
        <w:t xml:space="preserve">MCP funding-source verification (neither voter holds substantial DIMO</w:t>
      </w:r>
      <w:r>
        <w:t xml:space="preserve"> </w:t>
      </w:r>
      <w:r>
        <w:t xml:space="preserve">tokens; the cluster represents active community delegates participating</w:t>
      </w:r>
      <w:r>
        <w:t xml:space="preserve"> </w:t>
      </w:r>
      <w:r>
        <w:t xml:space="preserve">in a thin N=10 voter pool, not functional PCAs); the DIMO entries were</w:t>
      </w:r>
      <w:r>
        <w:t xml:space="preserve"> </w:t>
      </w:r>
      <w:r>
        <w:t xml:space="preserve">removed from</w:t>
      </w:r>
      <w:r>
        <w:t xml:space="preserve"> </w:t>
      </w:r>
      <w:r>
        <w:rPr>
          <w:rStyle w:val="VerbatimChar"/>
        </w:rPr>
        <w:t xml:space="preserve">exclusions_log_signer.csv</w:t>
      </w:r>
      <w:r>
        <w:t xml:space="preserve">. The</w:t>
      </w:r>
      <w:r>
        <w:t xml:space="preserve"> </w:t>
      </w:r>
      <w:r>
        <w:rPr>
          <w:rStyle w:val="VerbatimChar"/>
        </w:rPr>
        <w:t xml:space="preserve">exclusions_log_signer.csv</w:t>
      </w:r>
      <w:r>
        <w:t xml:space="preserve"> </w:t>
      </w:r>
      <w:r>
        <w:t xml:space="preserve">canonical store registers the four confirmed</w:t>
      </w:r>
      <w:r>
        <w:t xml:space="preserve"> </w:t>
      </w:r>
      <w:r>
        <w:t xml:space="preserve">signer-side functional PCAs (COMP + BAL + GTC + WXM).</w:t>
      </w:r>
    </w:p>
    <w:p>
      <w:pPr>
        <w:pStyle w:val="BodyText"/>
      </w:pPr>
      <w:r>
        <w:t xml:space="preserve">A methodologically substantive finding from the Snapshot signer-side</w:t>
      </w:r>
      <w:r>
        <w:t xml:space="preserve"> </w:t>
      </w:r>
      <w:r>
        <w:t xml:space="preserve">PCA-symmetric recompute is that the exclusion direction is NOT</w:t>
      </w:r>
      <w:r>
        <w:t xml:space="preserve"> </w:t>
      </w:r>
      <w:r>
        <w:t xml:space="preserve">monotonic in the concentration-reduction direction. For three of the</w:t>
      </w:r>
      <w:r>
        <w:t xml:space="preserve"> </w:t>
      </w:r>
      <w:r>
        <w:t xml:space="preserve">four Snapshot-sourced protocols with confirmed signer-side functional</w:t>
      </w:r>
      <w:r>
        <w:t xml:space="preserve"> </w:t>
      </w:r>
      <w:r>
        <w:t xml:space="preserve">PCAs, exclusion produces the expected concentration-reduction</w:t>
      </w:r>
      <w:r>
        <w:t xml:space="preserve"> </w:t>
      </w:r>
      <w:r>
        <w:t xml:space="preserve">direction: COMP HHI shifts from 0.0889 to 0.0468 (delta minus 0.0421);</w:t>
      </w:r>
      <w:r>
        <w:t xml:space="preserve"> </w:t>
      </w:r>
      <w:r>
        <w:t xml:space="preserve">BAL from 0.3045 to 0.1499 (delta minus 0.1546); WXM from 0.5561 to</w:t>
      </w:r>
      <w:r>
        <w:t xml:space="preserve"> </w:t>
      </w:r>
      <w:r>
        <w:t xml:space="preserve">0.1184 (delta minus 0.4377). For the remaining protocol, signer-side</w:t>
      </w:r>
      <w:r>
        <w:t xml:space="preserve"> </w:t>
      </w:r>
      <w:r>
        <w:t xml:space="preserve">PCA exclusion INCREASES voting HHI: GTC shifts from 0.1792 to 0.1948</w:t>
      </w:r>
      <w:r>
        <w:t xml:space="preserve"> </w:t>
      </w:r>
      <w:r>
        <w:t xml:space="preserve">(delta plus 0.0156). For comparison, the initial DIMO Foundation</w:t>
      </w:r>
      <w:r>
        <w:t xml:space="preserve"> </w:t>
      </w:r>
      <w:r>
        <w:t xml:space="preserve">candidate exclusion (before the candidate cluster was refuted via</w:t>
      </w:r>
      <w:r>
        <w:t xml:space="preserve"> </w:t>
      </w:r>
      <w:r>
        <w:t xml:space="preserve">Blockscout MCP verification) would have produced a 0.2280 to 0.3242</w:t>
      </w:r>
      <w:r>
        <w:t xml:space="preserve"> </w:t>
      </w:r>
      <w:r>
        <w:t xml:space="preserve">shift (delta plus 0.0962); this computation is reported for</w:t>
      </w:r>
      <w:r>
        <w:t xml:space="preserve"> </w:t>
      </w:r>
      <w:r>
        <w:t xml:space="preserve">completeness. The reverse-direction pattern arises</w:t>
      </w:r>
      <w:r>
        <w:t xml:space="preserve"> </w:t>
      </w:r>
      <w:r>
        <w:t xml:space="preserve">from a smaller-denominator effect: when the excluded PCA holds a</w:t>
      </w:r>
      <w:r>
        <w:t xml:space="preserve"> </w:t>
      </w:r>
      <w:r>
        <w:t xml:space="preserve">dominant share of total voting weight (GTC top-1 at 28 percent;</w:t>
      </w:r>
      <w:r>
        <w:t xml:space="preserve"> </w:t>
      </w:r>
      <w:r>
        <w:t xml:space="preserve">DIMO candidate cluster at 59 percent combined pre-refutation), the</w:t>
      </w:r>
      <w:r>
        <w:t xml:space="preserve"> </w:t>
      </w:r>
      <w:r>
        <w:t xml:space="preserve">remaining voters become MORE concentrated relative to each other under</w:t>
      </w:r>
      <w:r>
        <w:t xml:space="preserve"> </w:t>
      </w:r>
      <w:r>
        <w:t xml:space="preserve">the smaller post-exclusion total. The pattern is most extreme in small voter pools (DIMO N</w:t>
      </w:r>
      <w:r>
        <w:t xml:space="preserve"> </w:t>
      </w:r>
      <w:r>
        <w:t xml:space="preserve">equals 10 voters); larger pools dilute the effect. The methodological</w:t>
      </w:r>
      <w:r>
        <w:t xml:space="preserve"> </w:t>
      </w:r>
      <w:r>
        <w:t xml:space="preserve">implication is that PCA-symmetric exclusion is a substantive</w:t>
      </w:r>
      <w:r>
        <w:t xml:space="preserve"> </w:t>
      </w:r>
      <w:r>
        <w:t xml:space="preserve">direction-of-effect test rather than a mechanical</w:t>
      </w:r>
      <w:r>
        <w:t xml:space="preserve"> </w:t>
      </w:r>
      <w:r>
        <w:t xml:space="preserve">concentration-reduction adjustment: when exclusion increases HHI, the</w:t>
      </w:r>
      <w:r>
        <w:t xml:space="preserve"> </w:t>
      </w:r>
      <w:r>
        <w:t xml:space="preserve">finding indicates that PCA concentration was masking a more</w:t>
      </w:r>
      <w:r>
        <w:t xml:space="preserve"> </w:t>
      </w:r>
      <w:r>
        <w:t xml:space="preserve">concentrated underlying distribution among non-PCA voters, which is</w:t>
      </w:r>
      <w:r>
        <w:t xml:space="preserve"> </w:t>
      </w:r>
      <w:r>
        <w:t xml:space="preserve">itself a substantive structural feature of the protocol’s governance.</w:t>
      </w:r>
    </w:p>
    <w:p>
      <w:pPr>
        <w:pStyle w:val="BodyText"/>
      </w:pPr>
      <w:r>
        <w:t xml:space="preserve">For Solana governance (three protocols at proper-weight methodology),</w:t>
      </w:r>
      <w:r>
        <w:t xml:space="preserve"> </w:t>
      </w:r>
      <w:r>
        <w:t xml:space="preserve">the apples-to-apples comparable voting HHI values are JUP 0.00546</w:t>
      </w:r>
      <w:r>
        <w:t xml:space="preserve"> </w:t>
      </w:r>
      <w:r>
        <w:t xml:space="preserve">(Jupiter; via per-signer max(weight) on</w:t>
      </w:r>
      <w:r>
        <w:t xml:space="preserve"> </w:t>
      </w:r>
      <w:r>
        <w:rPr>
          <w:rStyle w:val="VerbatimChar"/>
        </w:rPr>
        <w:t xml:space="preserve">jupiter_solana.govern_call_setvote</w:t>
      </w:r>
      <w:r>
        <w:t xml:space="preserve">); HNT 0.0261 to 0.0394</w:t>
      </w:r>
      <w:r>
        <w:t xml:space="preserve"> </w:t>
      </w:r>
      <w:r>
        <w:t xml:space="preserve">(Helium; sensitivity range via VSR position-state reconstruction;</w:t>
      </w:r>
      <w:r>
        <w:t xml:space="preserve"> </w:t>
      </w:r>
      <w:r>
        <w:t xml:space="preserve">14.8 percent closed-position rate documents the bounds);</w:t>
      </w:r>
      <w:r>
        <w:t xml:space="preserve"> </w:t>
      </w:r>
      <w:r>
        <w:t xml:space="preserve">DRIFT 0.0833 (Drift Protocol; via Solana RPC parsing of the DRIFT</w:t>
      </w:r>
      <w:r>
        <w:t xml:space="preserve"> </w:t>
      </w:r>
      <w:r>
        <w:t xml:space="preserve">governance program VoteRecordV2 accounts). The DRIFT Squads V4 PCA</w:t>
      </w:r>
      <w:r>
        <w:t xml:space="preserve"> </w:t>
      </w:r>
      <w:r>
        <w:t xml:space="preserve">address does not appear in the DRIFT voter set, confirming the</w:t>
      </w:r>
      <w:r>
        <w:t xml:space="preserve"> </w:t>
      </w:r>
      <w:r>
        <w:t xml:space="preserve">Solana structural separation between custody and governance signing</w:t>
      </w:r>
      <w:r>
        <w:t xml:space="preserve"> </w:t>
      </w:r>
      <w:r>
        <w:t xml:space="preserve">documented in the Realms governance survey. JUP is the only Solana</w:t>
      </w:r>
      <w:r>
        <w:t xml:space="preserve"> </w:t>
      </w:r>
      <w:r>
        <w:t xml:space="preserve">protocol exhibiting voting concentration order-of-magnitude below</w:t>
      </w:r>
      <w:r>
        <w:t xml:space="preserve"> </w:t>
      </w:r>
      <w:r>
        <w:t xml:space="preserve">the EVM cross-section median; HNT and DRIFT cluster within</w:t>
      </w:r>
      <w:r>
        <w:t xml:space="preserve"> </w:t>
      </w:r>
      <w:r>
        <w:t xml:space="preserve">EVM-typical voting HHI range. Section 4.5.4 documents the</w:t>
      </w:r>
      <w:r>
        <w:t xml:space="preserve"> </w:t>
      </w:r>
      <w:r>
        <w:t xml:space="preserve">within-Solana governance heterogeneity; Section 4.5.4.1 documents</w:t>
      </w:r>
      <w:r>
        <w:t xml:space="preserve"> </w:t>
      </w:r>
      <w:r>
        <w:t xml:space="preserve">the Drift Foundation proposal-authorship-versus-vote-weight</w:t>
      </w:r>
      <w:r>
        <w:t xml:space="preserve"> </w:t>
      </w:r>
      <w:r>
        <w:t xml:space="preserve">decoupling pattern; Section 4.5.5 documents the cross-protocol</w:t>
      </w:r>
      <w:r>
        <w:t xml:space="preserve"> </w:t>
      </w:r>
      <w:r>
        <w:t xml:space="preserve">institutional-governance-investor pattern.</w:t>
      </w:r>
    </w:p>
    <w:p>
      <w:pPr>
        <w:pStyle w:val="BodyText"/>
      </w:pPr>
      <w:r>
        <w:t xml:space="preserve">For Realms-resident Solana DAOs (DRIFT, HNT parent, HNT MOBILE and</w:t>
      </w:r>
      <w:r>
        <w:t xml:space="preserve"> </w:t>
      </w:r>
      <w:r>
        <w:t xml:space="preserve">IOT sub-DAOs), the Realms public surface exposes</w:t>
      </w:r>
      <w:r>
        <w:t xml:space="preserve"> </w:t>
      </w:r>
      <w:r>
        <w:t xml:space="preserve">participation-count proxy not VSR-weighted voting power without a</w:t>
      </w:r>
      <w:r>
        <w:t xml:space="preserve"> </w:t>
      </w:r>
      <w:r>
        <w:t xml:space="preserve">connected wallet; voting-side HHI in the Tally-equivalent</w:t>
      </w:r>
      <w:r>
        <w:t xml:space="preserve"> </w:t>
      </w:r>
      <w:r>
        <w:t xml:space="preserve">specification cannot be computed from the Realms DOM surface alone.</w:t>
      </w:r>
      <w:r>
        <w:t xml:space="preserve"> </w:t>
      </w:r>
      <w:r>
        <w:t xml:space="preserve">Direct on-chain SPL Governance program parsing (the approach used</w:t>
      </w:r>
      <w:r>
        <w:t xml:space="preserve"> </w:t>
      </w:r>
      <w:r>
        <w:t xml:space="preserve">for DRIFT in this revision) is the methodological alternative.</w:t>
      </w:r>
      <w:r>
        <w:t xml:space="preserve"> </w:t>
      </w:r>
      <w:r>
        <w:t xml:space="preserve">Five Solana protocols in the cross-section (HONEY, IO, META, RENDER,</w:t>
      </w:r>
      <w:r>
        <w:t xml:space="preserve"> </w:t>
      </w:r>
      <w:r>
        <w:t xml:space="preserve">GRASS) host governance off-Realms and outside the Snapshot space,</w:t>
      </w:r>
      <w:r>
        <w:t xml:space="preserve"> </w:t>
      </w:r>
      <w:r>
        <w:t xml:space="preserve">producing a documented gap in voting-side coverage for those</w:t>
      </w:r>
      <w:r>
        <w:t xml:space="preserve"> </w:t>
      </w:r>
      <w:r>
        <w:t xml:space="preserve">protocols; holder-side concentration metrics from the Helius DAS API</w:t>
      </w:r>
      <w:r>
        <w:t xml:space="preserve"> </w:t>
      </w:r>
      <w:r>
        <w:t xml:space="preserve">top-1000 holders pull remain the canonical Solana coverage for the</w:t>
      </w:r>
      <w:r>
        <w:t xml:space="preserve"> </w:t>
      </w:r>
      <w:r>
        <w:t xml:space="preserve">gap-protocol subset.</w:t>
      </w:r>
    </w:p>
    <w:p>
      <w:pPr>
        <w:pStyle w:val="BodyText"/>
      </w:pPr>
      <w:r>
        <w:t xml:space="preserve">The methodology-floor canonical for the voting-HHI cross-section is</w:t>
      </w:r>
      <w:r>
        <w:t xml:space="preserve"> </w:t>
      </w:r>
      <w:r>
        <w:t xml:space="preserve">top-1000 sample depth for Tally + Snapshot, plus proper-weight</w:t>
      </w:r>
      <w:r>
        <w:t xml:space="preserve"> </w:t>
      </w:r>
      <w:r>
        <w:t xml:space="preserve">methodology for VSR-using protocols (Helium VSR; Jupiter governance;</w:t>
      </w:r>
      <w:r>
        <w:t xml:space="preserve"> </w:t>
      </w:r>
      <w:r>
        <w:t xml:space="preserve">Drift governance); the predominant-amplification finding (Section 4.5) is</w:t>
      </w:r>
      <w:r>
        <w:t xml:space="preserve"> </w:t>
      </w:r>
      <w:r>
        <w:t xml:space="preserve">robust to: (a) top-1000 versus all-delegates sampling depth on</w:t>
      </w:r>
      <w:r>
        <w:t xml:space="preserve"> </w:t>
      </w:r>
      <w:r>
        <w:t xml:space="preserve">Tally (empirically validated by 4-of-10 protocols at all-delegates</w:t>
      </w:r>
      <w:r>
        <w:t xml:space="preserve"> </w:t>
      </w:r>
      <w:r>
        <w:t xml:space="preserve">depth with sub-0.005 HHI shifts); (b) PCA-symmetric exclusion via</w:t>
      </w:r>
      <w:r>
        <w:t xml:space="preserve"> </w:t>
      </w:r>
      <w:r>
        <w:t xml:space="preserve">holder-side plus signer-side canonical stores on Snapshot (under</w:t>
      </w:r>
      <w:r>
        <w:t xml:space="preserve"> </w:t>
      </w:r>
      <w:r>
        <w:t xml:space="preserve">both monotonic and non-monotonic direction-of-effect outcomes);</w:t>
      </w:r>
      <w:r>
        <w:t xml:space="preserve"> </w:t>
      </w:r>
      <w:r>
        <w:t xml:space="preserve">(c) proper-weight versus vote-count methodology on VSR-using</w:t>
      </w:r>
      <w:r>
        <w:t xml:space="preserve"> </w:t>
      </w:r>
      <w:r>
        <w:t xml:space="preserve">protocols (the vote-count proxy understates concentration by 5x</w:t>
      </w:r>
      <w:r>
        <w:t xml:space="preserve"> </w:t>
      </w:r>
      <w:r>
        <w:t xml:space="preserve">to 7.5x for HNT per the multi-source extension EC log). Full</w:t>
      </w:r>
      <w:r>
        <w:t xml:space="preserve"> </w:t>
      </w:r>
      <w:r>
        <w:t xml:space="preserve">per-protocol detail and signer-side PCA case interpretations in</w:t>
      </w:r>
      <w:r>
        <w:t xml:space="preserve"> </w:t>
      </w:r>
      <w:hyperlink r:id="rId75">
        <w:r>
          <w:rPr>
            <w:rStyle w:val="Hyperlink"/>
          </w:rPr>
          <w:t xml:space="preserve">Supplementary File S12</w:t>
        </w:r>
      </w:hyperlink>
      <w:r>
        <w:t xml:space="preserve">.</w:t>
      </w:r>
    </w:p>
    <w:p>
      <w:pPr>
        <w:pStyle w:val="BodyText"/>
      </w:pPr>
      <w:r>
        <w:t xml:space="preserve">The sector-contrast robustness extends to the PCA-classification specification choice. Table 7 reports the Mann-Whitney sector test recomputed under five progressively stricter alternative exclusion specifications (Specs A through E; full per-specification narrative in Supplementary File S10). The directional claim (DePIN HHI &gt; DeFi HHI in central tendency) holds under every specification (Cohen’s d positive in all five). Statistical significance at the conventional 0.05 threshold requires the canonical 5-class typology (Spec A) or near-equivalents (Spec B drops Class 5 CEX custody and retains significance); progressively reducing exclusion strictness absorbs non-vote-eligible custody mass into the holding distribution and exhausts the sector signal at Specs D and E. The PCA exclusion methodology applied throughout the paper is therefore load-bearing for the inferential claim of statistical significance; the directional claim is robust to specification choice.</w:t>
      </w:r>
    </w:p>
    <w:tbl>
      <w:tblPr>
        <w:tblStyle w:val="Table"/>
        <w:tblW w:type="pct" w:w="4903"/>
        <w:tblLayout w:type="fixed"/>
        <w:tblLook w:firstRow="1" w:lastRow="0" w:firstColumn="0" w:lastColumn="0" w:noHBand="0" w:noVBand="0" w:val="0020"/>
      </w:tblPr>
      <w:tblGrid>
        <w:gridCol w:w="768"/>
        <w:gridCol w:w="4536"/>
        <w:gridCol w:w="1076"/>
        <w:gridCol w:w="692"/>
        <w:gridCol w:w="692"/>
      </w:tblGrid>
      <w:tr>
        <w:trPr>
          <w:tblHeader w:val="on"/>
        </w:trPr>
        <w:tc>
          <w:tcPr/>
          <w:p>
            <w:pPr>
              <w:pStyle w:val="Compact"/>
              <w:jc w:val="left"/>
            </w:pPr>
            <w:r>
              <w:t xml:space="preserve">Spec</w:t>
            </w:r>
          </w:p>
        </w:tc>
        <w:tc>
          <w:tcPr/>
          <w:p>
            <w:pPr>
              <w:pStyle w:val="Compact"/>
              <w:jc w:val="left"/>
            </w:pPr>
            <w:r>
              <w:t xml:space="preserve">Description</w:t>
            </w:r>
          </w:p>
        </w:tc>
        <w:tc>
          <w:tcPr/>
          <w:p>
            <w:pPr>
              <w:pStyle w:val="Compact"/>
              <w:jc w:val="left"/>
            </w:pPr>
            <w:r>
              <w:t xml:space="preserve">Excluded</w:t>
            </w:r>
          </w:p>
        </w:tc>
        <w:tc>
          <w:tcPr/>
          <w:p>
            <w:pPr>
              <w:pStyle w:val="Compact"/>
              <w:jc w:val="left"/>
            </w:pPr>
            <w:r>
              <w:t xml:space="preserve">p</w:t>
            </w:r>
          </w:p>
        </w:tc>
        <w:tc>
          <w:tcPr/>
          <w:p>
            <w:pPr>
              <w:pStyle w:val="Compact"/>
              <w:jc w:val="left"/>
            </w:pPr>
            <w:r>
              <w:t xml:space="preserve">d</w:t>
            </w:r>
          </w:p>
        </w:tc>
      </w:tr>
      <w:tr>
        <w:tc>
          <w:tcPr/>
          <w:p>
            <w:pPr>
              <w:pStyle w:val="Compact"/>
              <w:jc w:val="left"/>
            </w:pPr>
            <w:r>
              <w:t xml:space="preserve">A</w:t>
            </w:r>
          </w:p>
        </w:tc>
        <w:tc>
          <w:tcPr/>
          <w:p>
            <w:pPr>
              <w:pStyle w:val="Compact"/>
              <w:jc w:val="left"/>
            </w:pPr>
            <w:r>
              <w:t xml:space="preserve">Canonical 5-class (all 5 classes excluded)</w:t>
            </w:r>
          </w:p>
        </w:tc>
        <w:tc>
          <w:tcPr/>
          <w:p>
            <w:pPr>
              <w:pStyle w:val="Compact"/>
              <w:jc w:val="left"/>
            </w:pPr>
            <w:r>
              <w:t xml:space="preserve">125 / 36 prot</w:t>
            </w:r>
          </w:p>
        </w:tc>
        <w:tc>
          <w:tcPr/>
          <w:p>
            <w:pPr>
              <w:pStyle w:val="Compact"/>
              <w:jc w:val="left"/>
            </w:pPr>
            <w:r>
              <w:t xml:space="preserve">0.029</w:t>
            </w:r>
          </w:p>
        </w:tc>
        <w:tc>
          <w:tcPr/>
          <w:p>
            <w:pPr>
              <w:pStyle w:val="Compact"/>
              <w:jc w:val="left"/>
            </w:pPr>
            <w:r>
              <w:t xml:space="preserve">0.94</w:t>
            </w:r>
          </w:p>
        </w:tc>
      </w:tr>
      <w:tr>
        <w:tc>
          <w:tcPr/>
          <w:p>
            <w:pPr>
              <w:pStyle w:val="Compact"/>
              <w:jc w:val="left"/>
            </w:pPr>
            <w:r>
              <w:t xml:space="preserve">B</w:t>
            </w:r>
          </w:p>
        </w:tc>
        <w:tc>
          <w:tcPr/>
          <w:p>
            <w:pPr>
              <w:pStyle w:val="Compact"/>
              <w:jc w:val="left"/>
            </w:pPr>
            <w:r>
              <w:t xml:space="preserve">Drop Class 5 (CEX custody retained)</w:t>
            </w:r>
          </w:p>
        </w:tc>
        <w:tc>
          <w:tcPr/>
          <w:p>
            <w:pPr>
              <w:pStyle w:val="Compact"/>
              <w:jc w:val="left"/>
            </w:pPr>
            <w:r>
              <w:t xml:space="preserve">106</w:t>
            </w:r>
          </w:p>
        </w:tc>
        <w:tc>
          <w:tcPr/>
          <w:p>
            <w:pPr>
              <w:pStyle w:val="Compact"/>
              <w:jc w:val="left"/>
            </w:pPr>
            <w:r>
              <w:t xml:space="preserve">0.039</w:t>
            </w:r>
          </w:p>
        </w:tc>
        <w:tc>
          <w:tcPr/>
          <w:p>
            <w:pPr>
              <w:pStyle w:val="Compact"/>
              <w:jc w:val="left"/>
            </w:pPr>
            <w:r>
              <w:t xml:space="preserve">0.84</w:t>
            </w:r>
          </w:p>
        </w:tc>
      </w:tr>
      <w:tr>
        <w:tc>
          <w:tcPr/>
          <w:p>
            <w:pPr>
              <w:pStyle w:val="Compact"/>
              <w:jc w:val="left"/>
            </w:pPr>
            <w:r>
              <w:t xml:space="preserve">C</w:t>
            </w:r>
          </w:p>
        </w:tc>
        <w:tc>
          <w:tcPr/>
          <w:p>
            <w:pPr>
              <w:pStyle w:val="Compact"/>
              <w:jc w:val="left"/>
            </w:pPr>
            <w:r>
              <w:t xml:space="preserve">Drop Class 4 + 5 (bridge + CEX retained)</w:t>
            </w:r>
          </w:p>
        </w:tc>
        <w:tc>
          <w:tcPr/>
          <w:p>
            <w:pPr>
              <w:pStyle w:val="Compact"/>
              <w:jc w:val="left"/>
            </w:pPr>
            <w:r>
              <w:t xml:space="preserve">98</w:t>
            </w:r>
          </w:p>
        </w:tc>
        <w:tc>
          <w:tcPr/>
          <w:p>
            <w:pPr>
              <w:pStyle w:val="Compact"/>
              <w:jc w:val="left"/>
            </w:pPr>
            <w:r>
              <w:t xml:space="preserve">0.115</w:t>
            </w:r>
          </w:p>
        </w:tc>
        <w:tc>
          <w:tcPr/>
          <w:p>
            <w:pPr>
              <w:pStyle w:val="Compact"/>
              <w:jc w:val="left"/>
            </w:pPr>
            <w:r>
              <w:t xml:space="preserve">0.60</w:t>
            </w:r>
          </w:p>
        </w:tc>
      </w:tr>
      <w:tr>
        <w:tc>
          <w:tcPr/>
          <w:p>
            <w:pPr>
              <w:pStyle w:val="Compact"/>
              <w:jc w:val="left"/>
            </w:pPr>
            <w:r>
              <w:t xml:space="preserve">D</w:t>
            </w:r>
          </w:p>
        </w:tc>
        <w:tc>
          <w:tcPr/>
          <w:p>
            <w:pPr>
              <w:pStyle w:val="Compact"/>
              <w:jc w:val="left"/>
            </w:pPr>
            <w:r>
              <w:t xml:space="preserve">Drop Class 3 + 4 + 5 (only Classes 1 + 2 excluded)</w:t>
            </w:r>
          </w:p>
        </w:tc>
        <w:tc>
          <w:tcPr/>
          <w:p>
            <w:pPr>
              <w:pStyle w:val="Compact"/>
              <w:jc w:val="left"/>
            </w:pPr>
            <w:r>
              <w:t xml:space="preserve">86</w:t>
            </w:r>
          </w:p>
        </w:tc>
        <w:tc>
          <w:tcPr/>
          <w:p>
            <w:pPr>
              <w:pStyle w:val="Compact"/>
              <w:jc w:val="left"/>
            </w:pPr>
            <w:r>
              <w:t xml:space="preserve">0.610</w:t>
            </w:r>
          </w:p>
        </w:tc>
        <w:tc>
          <w:tcPr/>
          <w:p>
            <w:pPr>
              <w:pStyle w:val="Compact"/>
              <w:jc w:val="left"/>
            </w:pPr>
            <w:r>
              <w:t xml:space="preserve">0.17</w:t>
            </w:r>
          </w:p>
        </w:tc>
      </w:tr>
      <w:tr>
        <w:tc>
          <w:tcPr/>
          <w:p>
            <w:pPr>
              <w:pStyle w:val="Compact"/>
              <w:jc w:val="left"/>
            </w:pPr>
            <w:r>
              <w:t xml:space="preserve">E</w:t>
            </w:r>
          </w:p>
        </w:tc>
        <w:tc>
          <w:tcPr/>
          <w:p>
            <w:pPr>
              <w:pStyle w:val="Compact"/>
              <w:jc w:val="left"/>
            </w:pPr>
            <w:r>
              <w:t xml:space="preserve">Drop Class 2 + 3 + 4 + 5 (only burn destinations excluded)</w:t>
            </w:r>
          </w:p>
        </w:tc>
        <w:tc>
          <w:tcPr/>
          <w:p>
            <w:pPr>
              <w:pStyle w:val="Compact"/>
              <w:jc w:val="left"/>
            </w:pPr>
            <w:r>
              <w:t xml:space="preserve">10</w:t>
            </w:r>
          </w:p>
        </w:tc>
        <w:tc>
          <w:tcPr/>
          <w:p>
            <w:pPr>
              <w:pStyle w:val="Compact"/>
              <w:jc w:val="left"/>
            </w:pPr>
            <w:r>
              <w:t xml:space="preserve">0.512</w:t>
            </w:r>
          </w:p>
        </w:tc>
        <w:tc>
          <w:tcPr/>
          <w:p>
            <w:pPr>
              <w:pStyle w:val="Compact"/>
              <w:jc w:val="left"/>
            </w:pPr>
            <w:r>
              <w:t xml:space="preserve">0.35</w:t>
            </w:r>
          </w:p>
        </w:tc>
      </w:tr>
    </w:tbl>
    <w:p>
      <w:pPr>
        <w:pStyle w:val="BodyText"/>
      </w:pPr>
      <w:r>
        <w:rPr>
          <w:b/>
          <w:bCs/>
          <w:i/>
          <w:iCs/>
        </w:rPr>
        <w:t xml:space="preserve">Table 7.</w:t>
      </w:r>
      <w:r>
        <w:rPr>
          <w:i/>
          <w:iCs/>
        </w:rPr>
        <w:t xml:space="preserve"> </w:t>
      </w:r>
      <w:r>
        <w:rPr>
          <w:i/>
          <w:iCs/>
        </w:rPr>
        <w:t xml:space="preserve">PCA-classification robustness: Mann-Whitney sector test under five alternative exclusion specifications applied to the N = 30 DePIN-vs-DeFi sector contrast. Specs A and B retain conventional statistical significance (p &lt; 0.05) with large Cohen’s d; Spec C produces a medium-effect contrast that fails the 0.05 threshold at N = 30; Specs D and E (minimal exclusions) absorb so much non-vote-eligible signal into the holding distribution that the sector-contrast statistical power is exhausted. Cohen’s d is positive across all five specifications: the directional cross-protocol pattern is not an artifact of specific PCA-exclusion choices. Per-specification narrative interpretation and alternative-classification rationale in Supplementary File S10.</w:t>
      </w:r>
    </w:p>
    <w:p>
      <w:pPr>
        <w:pStyle w:val="BodyText"/>
      </w:pPr>
      <w:r>
        <w:t xml:space="preserve">Other extended robustness analyses are documented in supplementary materials rather than reproduced in full here: Theil and Atkinson concentration metrics (S9), Shapley-Shubik and Banzhaf power indices (S11), PCA-symmetric voting HHI and signer-side functional PCA cases (S12), multivariate subsidy models with sector controls (S8), and the canonical statistics ledger (S0). Profitability, size, and insider-retention specifications are reported in the §4.6 secondary-checks paragraph above. Rank ordering across concentration metrics is stable: HHI-Theil Pearson r = 0.77 and HHI-Gini Pearson r = 0.59 (p &lt; 0.001, N = 40) on the post-exclusion sample, confirming that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metric adds some independent information about distributional shape while agreeing on protocol rank ordering.</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76"/>
    <w:bookmarkEnd w:id="77"/>
    <w:bookmarkStart w:id="89" w:name="discussion"/>
    <w:p>
      <w:pPr>
        <w:pStyle w:val="Heading1"/>
      </w:pPr>
      <w:r>
        <w:t xml:space="preserve">5 Discussion</w:t>
      </w:r>
    </w:p>
    <w:bookmarkStart w:id="78" w:name="measurement-implications"/>
    <w:p>
      <w:pPr>
        <w:pStyle w:val="Heading2"/>
      </w:pPr>
      <w:r>
        <w:t xml:space="preserve">5.1 Measurement Implications</w:t>
      </w:r>
    </w:p>
    <w:p>
      <w:pPr>
        <w:pStyle w:val="FirstParagraph"/>
      </w:pPr>
      <w:r>
        <w:t xml:space="preserve">The results change how governance concentration should be audited. Launch allocation tables are not enough: initial insider allocation is not associated with post-distribution HHI in this cross-section. Audits should instead begin with current holder composition, explicit PCA exclusions, insider wallet retention among top holders, and delegated voting power.</w:t>
      </w:r>
    </w:p>
    <w:p>
      <w:pPr>
        <w:pStyle w:val="BodyText"/>
      </w:pPr>
      <w:r>
        <w:t xml:space="preserve">Three practical implications follow. First, holder-list HHI should be computed only after excluding addresses that cannot vote as independent governance actors. Second, delegation analysis should compare voting-HHI with post-exclusion holding HHI, because delegated power usually differs from token holdings. Third, concentration audits should treat vote-escrow systems and delegation systems as different mechanism classes rather than aggregating them under one generic governance label.</w:t>
      </w:r>
    </w:p>
    <w:bookmarkEnd w:id="78"/>
    <w:bookmarkStart w:id="79"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Two counterexamples operating in different mechanism domains</w:t>
      </w:r>
      <w:r>
        <w:t xml:space="preserve"> </w:t>
      </w:r>
      <w:r>
        <w:t xml:space="preserve">illustrate that concentration variation is design-tractable rather than</w:t>
      </w:r>
      <w:r>
        <w:t xml:space="preserve"> </w:t>
      </w:r>
      <w:r>
        <w:t xml:space="preserve">mechanically inevitable: Anyone Protocol shows that low DePIN holding</w:t>
      </w:r>
      <w:r>
        <w:t xml:space="preserve"> </w:t>
      </w:r>
      <w:r>
        <w:t xml:space="preserve">concentration is possible despite sector-level concentration risk, and</w:t>
      </w:r>
      <w:r>
        <w:t xml:space="preserve"> </w:t>
      </w:r>
      <w:r>
        <w:t xml:space="preserve">ENS shows that delegation can disperse voting power below the holding</w:t>
      </w:r>
      <w:r>
        <w:t xml:space="preserve"> </w:t>
      </w:r>
      <w:r>
        <w:t xml:space="preserve">baseline under a mature delegate program. GMX, HNT, and JUP extend the</w:t>
      </w:r>
      <w:r>
        <w:t xml:space="preserve"> </w:t>
      </w:r>
      <w:r>
        <w:t xml:space="preserve">delegation-dispersion case under different mechanism designs, while</w:t>
      </w:r>
      <w:r>
        <w:t xml:space="preserve"> </w:t>
      </w:r>
      <w:r>
        <w:t xml:space="preserve">Curve and Balancer show that vote-escrowed governance can amplify voting</w:t>
      </w:r>
      <w:r>
        <w:t xml:space="preserve"> </w:t>
      </w:r>
      <w:r>
        <w:t xml:space="preserve">concentration far above raw token holdings.</w:t>
      </w:r>
    </w:p>
    <w:p>
      <w:pPr>
        <w:pStyle w:val="BodyText"/>
      </w:pPr>
      <w:r>
        <w:t xml:space="preserve">For practitioners, the immediate design lesson is to measure current</w:t>
      </w:r>
      <w:r>
        <w:t xml:space="preserve"> </w:t>
      </w:r>
      <w:r>
        <w:t xml:space="preserve">governance power rather than infer it from launch documents.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bookmarkEnd w:id="79"/>
    <w:bookmarkStart w:id="80"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shows that concentration should be measured after PCA correction and voting-power adjustment before decentralization claims are made.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p>
    <w:p>
      <w:pPr>
        <w:pStyle w:val="BodyText"/>
      </w:pPr>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p>
    <w:bookmarkEnd w:id="80"/>
    <w:bookmarkStart w:id="81" w:name="position-in-literature"/>
    <w:p>
      <w:pPr>
        <w:pStyle w:val="Heading2"/>
      </w:pPr>
      <w:r>
        <w:t xml:space="preserve">5.4 Position in Literature</w:t>
      </w:r>
    </w:p>
    <w:p>
      <w:pPr>
        <w:pStyle w:val="FirstParagraph"/>
      </w:pPr>
      <w:r>
        <w:t xml:space="preserve">This paper contributes to the empirical DAO-governance literature by refining how concentration is measured. Prior work documents token inequality, voter concentration, participation gaps, and the decentralization illusion. B2 extends that literature by showing that concentration estimates change materially once protocol-controlled addresses are excluded, and by comparing holding HHI with voting-HHI across delegation systems.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81"/>
    <w:bookmarkStart w:id="82" w:name="summary-of-findings"/>
    <w:p>
      <w:pPr>
        <w:pStyle w:val="Heading2"/>
      </w:pPr>
      <w:r>
        <w:t xml:space="preserve">5.5 Summary of Findings</w:t>
      </w:r>
    </w:p>
    <w:p>
      <w:pPr>
        <w:pStyle w:val="FirstParagraph"/>
      </w:pPr>
      <w:r>
        <w:t xml:space="preserve">Across 40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0.05, p = 0.76, N = 37), while current insider wallet retention is associated with concentration (Spearman rho = 0.48, p = 0.003, N = 37); the non-insider HHI check supports this as more than a purely mechanical result.</w:t>
      </w:r>
    </w:p>
    <w:p>
      <w:pPr>
        <w:pStyle w:val="BodyText"/>
      </w:pPr>
      <w:r>
        <w:t xml:space="preserve">DePIN protocols are more concentrated than DeFi protocols after correction (mean HHI 0.071 vs 0.031; Mann-Whitney p = 0.020; Cohen’s d = 0.94), but the finding is descriptive and partially attenuates in the smallest multivariate specification. Subsidy dependence does not generalize as a concentration indicator once Livepeer is excluded (r = 0.07, p = 0.77, N = 22). Delegation usually amplifies voting concentration above token holdings in the 13-protocol voting-HHI sample, with ENS, GMX, HNT, and JUP as dispersion exceptions.</w:t>
      </w:r>
    </w:p>
    <w:p>
      <w:pPr>
        <w:pStyle w:val="BodyText"/>
      </w:pPr>
      <w:r>
        <w:t xml:space="preserve">The findings span four within-protocol concentration surfaces (post-exclusion holding, insider retention, delegated voting, and vote-escrowed voting) and one cross-protocol surface deferred to future work (institutional delegates participating in multiple protocols’ governance simultaneously).</w:t>
      </w:r>
    </w:p>
    <w:bookmarkEnd w:id="82"/>
    <w:bookmarkStart w:id="83" w:name="contributions"/>
    <w:p>
      <w:pPr>
        <w:pStyle w:val="Heading2"/>
      </w:pPr>
      <w:r>
        <w:t xml:space="preserve">5.6 Contributions</w:t>
      </w:r>
    </w:p>
    <w:p>
      <w:pPr>
        <w:pStyle w:val="FirstParagraph"/>
      </w:pPr>
      <w:r>
        <w:t xml:space="preserve">The paper makes four empirical contributions.</w:t>
      </w:r>
    </w:p>
    <w:p>
      <w:pPr>
        <w:pStyle w:val="BodyText"/>
      </w:pPr>
      <w:r>
        <w:rPr>
          <w:b/>
          <w:bCs/>
        </w:rPr>
        <w:t xml:space="preserve">First, generalizable PCA exclusion methodology</w:t>
      </w:r>
      <w:r>
        <w:t xml:space="preserve"> </w:t>
      </w:r>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w:t>
      </w:r>
      <w:r>
        <w:t xml:space="preserve"> </w:t>
      </w:r>
      <w:r>
        <w:t xml:space="preserve">(Section 4.3). DePIN governance concentration exceeds DeFi after PCA correction, with robustness to leave-one-out, permutation, and bootstrap checks. The finding is descriptive and should be read with the Model 3 attenuation and small-sample limits in view.</w:t>
      </w:r>
    </w:p>
    <w:p>
      <w:pPr>
        <w:pStyle w:val="BodyText"/>
      </w:pPr>
      <w:r>
        <w:rPr>
          <w:b/>
          <w:bCs/>
        </w:rPr>
        <w:t xml:space="preserve">Fourth, delegation-amplification measurement</w:t>
      </w:r>
      <w:r>
        <w:t xml:space="preserve"> </w:t>
      </w:r>
      <w:r>
        <w:t xml:space="preserve">(Section 4.5). Voting-HHI exceeds post-exclusion holding HHI in nine of thirteen protocols with sufficient governance data, while ENS, GMX, HNT, and JUP show that dispersion is possible under different delegate-program or voting-mechanism designs. Curve and Balancer form a separate vote-escrow class with much larger amplification.</w:t>
      </w:r>
    </w:p>
    <w:bookmarkEnd w:id="83"/>
    <w:bookmarkStart w:id="84" w:name="limitations"/>
    <w:p>
      <w:pPr>
        <w:pStyle w:val="Heading2"/>
      </w:pPr>
      <w:r>
        <w:t xml:space="preserve">5.7 Limitations</w:t>
      </w:r>
    </w:p>
    <w:p>
      <w:pPr>
        <w:pStyle w:val="FirstParagraph"/>
      </w:pPr>
      <w:r>
        <w:t xml:space="preserve">The evidence reported here carries five main limitations. First, the analysis is a March 2026 cross-section, so it supports descriptive association rather than causal inference or trajectory claims. Second, the 40-protocol sample is large enough for descriptive comparison but small for fully specified multivariate regression; Model 3 has only 35 observations. Third, PCA classification depends on public labels, bytecode inspection, and documentation quality, with weaker coverage for some Solana-native protocols. Fourth, voting-HHI data are available only for 13 protocols with sufficient governance activity and comparable data surfaces. Fifth, HHI measures concentration of shares, not pivotal voting power under proposal-specific quorum rules.</w:t>
      </w:r>
    </w:p>
    <w:p>
      <w:pPr>
        <w:pStyle w:val="BodyText"/>
      </w:pPr>
      <w:r>
        <w:t xml:space="preserve">The attenuated Model 3 sector coefficient (p = 0.078) should be read</w:t>
      </w:r>
      <w:r>
        <w:t xml:space="preserve"> </w:t>
      </w:r>
      <w:r>
        <w:t xml:space="preserve">alongside the bootstrap result reported in Section 4.4: the DePIN</w:t>
      </w:r>
      <w:r>
        <w:t xml:space="preserve"> </w:t>
      </w:r>
      <w:r>
        <w:t xml:space="preserve">coefficient bootstrap interval remains above zero [+0.001, +0.091] in</w:t>
      </w:r>
      <w:r>
        <w:t xml:space="preserve"> </w:t>
      </w:r>
      <w:r>
        <w:t xml:space="preserve">the N = 35 multivariate sample, but the small sample limits how cleanly</w:t>
      </w:r>
      <w:r>
        <w:t xml:space="preserve"> </w:t>
      </w:r>
      <w:r>
        <w:t xml:space="preserve">sector can be isolated from correlated controls.</w:t>
      </w:r>
    </w:p>
    <w:p>
      <w:pPr>
        <w:pStyle w:val="BodyText"/>
      </w:pPr>
      <w:r>
        <w:t xml:space="preserve">The subsidy result is especially sensitive to one observation: excluding</w:t>
      </w:r>
      <w:r>
        <w:t xml:space="preserve"> </w:t>
      </w:r>
      <w:r>
        <w:t xml:space="preserve">Livepeer yields a clean null (full LOO + Spearman + log-transform</w:t>
      </w:r>
      <w:r>
        <w:t xml:space="preserve"> </w:t>
      </w:r>
      <w:r>
        <w:t xml:space="preserve">robustness in Section 4.6), so the main text treats subsidy as a</w:t>
      </w:r>
      <w:r>
        <w:t xml:space="preserve"> </w:t>
      </w:r>
      <w:r>
        <w:t xml:space="preserve">non-generalizing association rather than a stable indicator.</w:t>
      </w:r>
    </w:p>
    <w:p>
      <w:pPr>
        <w:pStyle w:val="BodyText"/>
      </w:pPr>
      <w:r>
        <w:t xml:space="preserve">Measurement extensions that would refine these findings without changing</w:t>
      </w:r>
      <w:r>
        <w:t xml:space="preserve"> </w:t>
      </w:r>
      <w:r>
        <w:t xml:space="preserve">the core claim are enumerated in Section 5.8.</w:t>
      </w:r>
    </w:p>
    <w:bookmarkEnd w:id="84"/>
    <w:bookmarkStart w:id="87" w:name="future-research"/>
    <w:p>
      <w:pPr>
        <w:pStyle w:val="Heading2"/>
      </w:pPr>
      <w:r>
        <w:t xml:space="preserve">5.8 Future Research</w:t>
      </w:r>
    </w:p>
    <w:p>
      <w:pPr>
        <w:pStyle w:val="FirstParagraph"/>
      </w:pPr>
      <w:r>
        <w:t xml:space="preserve">Four research directions have highest priority. First, longitudinal</w:t>
      </w:r>
      <w:r>
        <w:t xml:space="preserve"> </w:t>
      </w:r>
      <w:r>
        <w:t xml:space="preserve">governance tracking: monthly snapshots of HHI and Gini across the full</w:t>
      </w:r>
      <w:r>
        <w:t xml:space="preserve"> </w:t>
      </w:r>
      <w:r>
        <w:t xml:space="preserve">sample would convert the current cross-section into a panel dataset,</w:t>
      </w:r>
      <w:r>
        <w:t xml:space="preserve"> </w:t>
      </w:r>
      <w:r>
        <w:t xml:space="preserve">enabling analysis of deconcentration trajectories and the governance</w:t>
      </w:r>
      <w:r>
        <w:t xml:space="preserve"> </w:t>
      </w:r>
      <w:r>
        <w:t xml:space="preserve">effects of specific reform events (e.g., delegation program launches,</w:t>
      </w:r>
      <w:r>
        <w:t xml:space="preserve"> </w:t>
      </w:r>
      <w:r>
        <w:t xml:space="preserve">vesting cliff expirations). A companion panel analysis of quarterly HHI</w:t>
      </w:r>
      <w:r>
        <w:t xml:space="preserve"> </w:t>
      </w:r>
      <w:r>
        <w:t xml:space="preserve">trajectories for 14 governance tokens (</w:t>
      </w:r>
      <w:hyperlink r:id="rId85">
        <w:r>
          <w:rPr>
            <w:rStyle w:val="Hyperlink"/>
          </w:rPr>
          <w:t xml:space="preserve">Supplementary File S7</w:t>
        </w:r>
      </w:hyperlink>
      <w:r>
        <w:t xml:space="preserve">)</w:t>
      </w:r>
      <w:r>
        <w:t xml:space="preserve"> </w:t>
      </w:r>
      <w:r>
        <w:t xml:space="preserve">documents that 11 of 14 protocols exhibit monotonic governance HHI decay</w:t>
      </w:r>
      <w:r>
        <w:t xml:space="preserve"> </w:t>
      </w:r>
      <w:r>
        <w:t xml:space="preserve">over 24 months post-token-generation event, with vote-escrow (CRV),</w:t>
      </w:r>
      <w:r>
        <w:t xml:space="preserve"> </w:t>
      </w:r>
      <w:r>
        <w:t xml:space="preserve">reservoir-drip (COMP), and claim-window (ENS) designs as exceptions;</w:t>
      </w:r>
      <w:r>
        <w:t xml:space="preserve"> </w:t>
      </w:r>
      <w:r>
        <w:t xml:space="preserve">this longitudinal pattern is consistent with the cross-sectional</w:t>
      </w:r>
      <w:r>
        <w:t xml:space="preserve"> </w:t>
      </w:r>
      <w:r>
        <w:t xml:space="preserve">allocation null reported in Section 4.4.</w:t>
      </w:r>
    </w:p>
    <w:p>
      <w:pPr>
        <w:pStyle w:val="BodyText"/>
      </w:pPr>
      <w:r>
        <w:t xml:space="preserve">Second, sample expansion: the current cross-section of 40 protocols</w:t>
      </w:r>
      <w:r>
        <w:t xml:space="preserve"> </w:t>
      </w:r>
      <w:r>
        <w:t xml:space="preserve">supports descriptive analysis; expanding the sample to 50 to 60</w:t>
      </w:r>
      <w:r>
        <w:t xml:space="preserve"> </w:t>
      </w:r>
      <w:r>
        <w:t xml:space="preserve">protocols would enable the regression, panel, and event-study analyses</w:t>
      </w:r>
      <w:r>
        <w:t xml:space="preserve"> </w:t>
      </w:r>
      <w:r>
        <w:t xml:space="preserve">currently specified as replication-ready designs.</w:t>
      </w:r>
    </w:p>
    <w:p>
      <w:pPr>
        <w:pStyle w:val="BodyText"/>
      </w:pPr>
      <w:r>
        <w:t xml:space="preserve">Third, cross-protocol delegate overlap: the Snapshot-side overlap pattern in Section 4.5.5 should be extended to the Tally delegate registry and Solana governance surfaces to test whether the same professional governance actors concentrate influence across protocols.</w:t>
      </w:r>
    </w:p>
    <w:p>
      <w:pPr>
        <w:pStyle w:val="BodyText"/>
      </w:pPr>
      <w:r>
        <w:t xml:space="preserve">Fourth, extending concentration measurement from holding-based HHI to coalition-based power indices (Shapley &amp; Shubik, 1954; Banzhaf, 1968) would quantify whether token holders’ pivotal probability diverges from nominal share. Partial-sample computations across five Tally-sourced protocols (Section 4.6; full detail in Supplementary File S11) show Shapley-Shubik tracks voting-HHI at Pearson r = 0.999 under simple-majority quorum, with one protocol-specific Banzhaf divergence (AAVE top-1 Banzhaf 33.5% vs SS 26.7% vs share 21.9%). The 3 Snapshot-sourced protocols (DIMO, LDO, WXM) lack complete delegate-by-delegate weight data and remain the natural expansion target along with proposal-level quorum-configuration data. Recent game-theoretic results (Kiayias et al., 2025) indicate Shapley-based reward distributions achieve bounded Price of Stability (4/3) in oceanic staking models while resisting Sybil stake-splitting attacks, supporting the measurement extension’s theoretical grounding and computational feasibility for the sample sizes in the current dataset.</w:t>
      </w:r>
    </w:p>
    <w:p>
      <w:pPr>
        <w:pStyle w:val="BodyText"/>
      </w:pPr>
      <w:r>
        <w:t xml:space="preserve">B2’s forward agenda is empirical: convert the current cross-section into panel evidence, expand the sample, and extend voting-HHI to coalition-based power measures.</w:t>
      </w:r>
    </w:p>
    <w:p>
      <w:pPr>
        <w:pStyle w:val="BodyText"/>
      </w:pPr>
      <w:r>
        <w:t xml:space="preserve">Falsifiable forward claims. The cross-sectional design supports four</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FirstParagraph"/>
      </w:pPr>
      <w:r>
        <w:t xml:space="preserve">All four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86">
        <w:r>
          <w:rPr>
            <w:rStyle w:val="Hyperlink"/>
          </w:rPr>
          <w:t xml:space="preserve">Supplementary File S17</w:t>
        </w:r>
      </w:hyperlink>
      <w:r>
        <w:t xml:space="preserve">.</w:t>
      </w:r>
    </w:p>
    <w:bookmarkEnd w:id="87"/>
    <w:bookmarkStart w:id="88" w:name="reproducibility-and-data-availability"/>
    <w:p>
      <w:pPr>
        <w:pStyle w:val="Heading2"/>
      </w:pPr>
      <w:r>
        <w:t xml:space="preserve">5.9 Reproducibility and Data Availability</w:t>
      </w:r>
    </w:p>
    <w:p>
      <w:pPr>
        <w:pStyle w:val="FirstParagraph"/>
      </w:pPr>
      <w:r>
        <w:t xml:space="preserve">The 40-protocol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Supplementary</w:t>
      </w:r>
      <w:r>
        <w:t xml:space="preserve"> </w:t>
      </w:r>
      <w:r>
        <w:t xml:space="preserve">File S6.</w:t>
      </w:r>
    </w:p>
    <w:bookmarkEnd w:id="88"/>
    <w:bookmarkEnd w:id="89"/>
    <w:bookmarkStart w:id="90"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forty protocols, PCA exclusion corrects systematic inflation in prior concentration studies (median factor 2.3x), initial insider allocation is uninformative (Pearson r = 0.05, p = 0.76, N = 37), and post-distribution insider wallet retention is associated with higher concentration (Spearman rho = 0.48, p = 0.003, N = 37). DePIN protocols exhibit higher concentration than DeFi after measurement correction (Mann-Whitney p = 0.020, Cohen’s d = 0.94), and delegation amplifies voting power above holdings in nine of thirteen protocols with sufficient governance data (ratios 1.6x to 9.9x; mean approximately 4.9x).</w:t>
      </w:r>
    </w:p>
    <w:p>
      <w:pPr>
        <w:pStyle w:val="BodyText"/>
      </w:pPr>
      <w:r>
        <w:t xml:space="preserve">For practitioners and researchers, the actionable implication is to audit current holder composition, PCA exclusions, and delegate-program design rather than launch allocation percentages. ENS and Anyone Protocol show that lower concentration and delegation-mediated dispersion are achievable through deliberate institutional design. Longitudinal panel analysis and pre-registered falsifiable predictions are specified in Section 5.8 and Supplementary File S17.</w:t>
      </w:r>
    </w:p>
    <w:bookmarkEnd w:id="90"/>
    <w:bookmarkStart w:id="91"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raw holder-data workflow,</w:t>
      </w:r>
      <w:r>
        <w:t xml:space="preserve"> </w:t>
      </w:r>
      <w:r>
        <w:t xml:space="preserve">and address-level PCA documentation.</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S15: Optimism worked example retained as a supplementary case.</w:t>
      </w:r>
    </w:p>
    <w:p>
      <w:pPr>
        <w:pStyle w:val="BodyText"/>
      </w:pPr>
      <w:r>
        <w:t xml:space="preserve">S16: Aethir, IoTeX, and ENS sensitivity analyses.</w:t>
      </w:r>
    </w:p>
    <w:p>
      <w:pPr>
        <w:pStyle w:val="BodyText"/>
      </w:pPr>
      <w:r>
        <w:t xml:space="preserve">S17: Falsifiable predictions and pre-registration specification.</w:t>
      </w:r>
    </w:p>
    <w:p>
      <w:pPr>
        <w:pStyle w:val="BodyText"/>
      </w:pPr>
      <w:r>
        <w:t xml:space="preserve">Replication data:</w:t>
      </w:r>
      <w:r>
        <w:t xml:space="preserve"> </w:t>
      </w:r>
      <w:r>
        <w:t xml:space="preserve">https://github.com/Research-Publications-and-Data/Tokenomics-As-Institutional_Design</w:t>
      </w:r>
    </w:p>
    <w:bookmarkEnd w:id="91"/>
    <w:bookmarkStart w:id="92"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92"/>
    <w:bookmarkStart w:id="93"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Blockworks. (2026). GEODNET analytics dashboard. Retrieved April 2026,</w:t>
      </w:r>
      <w:r>
        <w:t xml:space="preserve"> </w:t>
      </w:r>
      <w:r>
        <w:t xml:space="preserve">from https://blockworks.com/analytics/geodnet</w:t>
      </w:r>
    </w:p>
    <w:p>
      <w:pPr>
        <w:pStyle w:val="BodyText"/>
      </w:pPr>
      <w:r>
        <w:t xml:space="preserve">Blockworks. (2026).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Cohen, J. (1989). Deliberation and democratic legitimacy. In A. Hamlin</w:t>
      </w:r>
      <w:r>
        <w:t xml:space="preserve"> </w:t>
      </w:r>
      <w:r>
        <w:t xml:space="preserve">&amp; P. Pettit (Eds.), The good polity: Normative analysis of the state</w:t>
      </w:r>
      <w:r>
        <w:t xml:space="preserve"> </w:t>
      </w:r>
      <w:r>
        <w:t xml:space="preserve">(pp. 17-34). Blackwell.</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De Filippi, P., &amp; Wright, A. (2018). Blockchain and the law: The rule of</w:t>
      </w:r>
      <w:r>
        <w:t xml:space="preserve"> </w:t>
      </w:r>
      <w:r>
        <w:t xml:space="preserve">code. Harvard University Press. https://doi.org/10.4159/9780674985933</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72" Target="media/rId72.png" /><Relationship Type="http://schemas.openxmlformats.org/officeDocument/2006/relationships/image" Id="rId68" Target="media/rId68.png" /><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86"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5"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86"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5"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40-Protocol Cross-Sectional Audit of DePIN and DeFi After Protocol-Controlled-Address Exclusion</dc:title>
  <dc:creator/>
  <cp:keywords/>
  <dcterms:created xsi:type="dcterms:W3CDTF">2026-05-27T04:14:08Z</dcterms:created>
  <dcterms:modified xsi:type="dcterms:W3CDTF">2026-05-27T04:14:08Z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