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generalizable methodological</w:t>
      </w:r>
      <w:r>
        <w:t xml:space="preserve"> </w:t>
      </w:r>
      <w:r>
        <w:t xml:space="preserve">contribution: any future cross-protocol governance HHI analysis should</w:t>
      </w:r>
      <w:r>
        <w:t xml:space="preserve"> </w:t>
      </w:r>
      <w:r>
        <w:t xml:space="preserve">apply the five-class PCA exclusion uniformly before reporting holding</w:t>
      </w:r>
      <w:r>
        <w:t xml:space="preserve"> </w:t>
      </w:r>
      <w:r>
        <w:t xml:space="preserve">concentration metrics. The specific addresses depend on the protocol</w:t>
      </w:r>
      <w:r>
        <w:t xml:space="preserve"> </w:t>
      </w:r>
      <w:r>
        <w:t xml:space="preserve">sample; the methodology is sample-independent.</w:t>
      </w:r>
    </w:p>
    <w:bookmarkEnd w:id="42"/>
    <w:bookmarkEnd w:id="43"/>
    <w:bookmarkStart w:id="77"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67"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bookmarkStart w:id="60"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0"/>
    <w:bookmarkStart w:id="61"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1"/>
    <w:bookmarkStart w:id="62"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2"/>
    <w:bookmarkStart w:id="63"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3"/>
    <w:bookmarkStart w:id="64"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4"/>
    <w:bookmarkStart w:id="65"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5"/>
    <w:bookmarkStart w:id="66"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p>
    <w:bookmarkEnd w:id="66"/>
    <w:bookmarkEnd w:id="67"/>
    <w:bookmarkStart w:id="76"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1">
        <w:r>
          <w:rPr>
            <w:rStyle w:val="Hyperlink"/>
          </w:rPr>
          <w:t xml:space="preserve">Supplementary File S8</w:t>
        </w:r>
      </w:hyperlink>
      <w:r>
        <w:t xml:space="preserve">.</w:t>
      </w:r>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p>
      <w:pPr>
        <w:pStyle w:val="BodyText"/>
      </w:pPr>
      <w:r>
        <w:t xml:space="preserve">The predominant-amplification finding in Section 4.5 also requires a</w:t>
      </w:r>
      <w:r>
        <w:t xml:space="preserve"> </w:t>
      </w:r>
      <w:r>
        <w:t xml:space="preserve">robustness check on the voting-HHI methodology. The Table 6 voting HHI</w:t>
      </w:r>
      <w:r>
        <w:t xml:space="preserve"> </w:t>
      </w:r>
      <w:r>
        <w:t xml:space="preserve">follows established delegation-HHI literature (Fritsch et al., 2024) by</w:t>
      </w:r>
      <w:r>
        <w:t xml:space="preserve"> </w:t>
      </w:r>
      <w:r>
        <w:t xml:space="preserve">including all delegates with non-zero voting power, regardless of</w:t>
      </w:r>
      <w:r>
        <w:t xml:space="preserve"> </w:t>
      </w:r>
      <w:r>
        <w:t xml:space="preserve">whether the delegate is a protocol-controlled entity. Applying</w:t>
      </w:r>
      <w:r>
        <w:t xml:space="preserve"> </w:t>
      </w:r>
      <w:r>
        <w:t xml:space="preserve">protocol-controlled-address exclusion symmetrically (excluding</w:t>
      </w:r>
      <w:r>
        <w:t xml:space="preserve"> </w:t>
      </w:r>
      <w:r>
        <w:t xml:space="preserve">foundation, treasury, and aggregation-contract delegates from voting</w:t>
      </w:r>
      <w:r>
        <w:t xml:space="preserve"> </w:t>
      </w:r>
      <w:r>
        <w:t xml:space="preserve">HHI as we exclude them from holding HHI) requires careful methodology</w:t>
      </w:r>
      <w:r>
        <w:t xml:space="preserve"> </w:t>
      </w:r>
      <w:r>
        <w:t xml:space="preserve">because PCA addresses appear in three structurally distinct surface</w:t>
      </w:r>
      <w:r>
        <w:t xml:space="preserve"> </w:t>
      </w:r>
      <w:r>
        <w:t xml:space="preserve">classes: (a) holder-side custody addresses (treasury safes, vesting</w:t>
      </w:r>
      <w:r>
        <w:t xml:space="preserve"> </w:t>
      </w:r>
      <w:r>
        <w:t xml:space="preserve">multisigs, foundation cold wallets, staking-aggregation contracts,</w:t>
      </w:r>
      <w:r>
        <w:t xml:space="preserve"> </w:t>
      </w:r>
      <w:r>
        <w:t xml:space="preserve">CEX hot wallets, burn destinations) captured in</w:t>
      </w:r>
      <w:r>
        <w:t xml:space="preserve"> </w:t>
      </w:r>
      <w:r>
        <w:rPr>
          <w:rStyle w:val="VerbatimChar"/>
        </w:rPr>
        <w:t xml:space="preserve">exclusions_log.csv</w:t>
      </w:r>
      <w:r>
        <w:t xml:space="preserve">; (b) signer-side governance-operation addresses</w:t>
      </w:r>
      <w:r>
        <w:t xml:space="preserve"> </w:t>
      </w:r>
      <w:r>
        <w:t xml:space="preserve">(foundation operational signing wallets distinct from custody</w:t>
      </w:r>
      <w:r>
        <w:t xml:space="preserve"> </w:t>
      </w:r>
      <w:r>
        <w:t xml:space="preserve">addresses; for example Compound Foundation</w:t>
      </w:r>
      <w:r>
        <w:t xml:space="preserve"> </w:t>
      </w:r>
      <w:r>
        <w:rPr>
          <w:rStyle w:val="VerbatimChar"/>
        </w:rPr>
        <w:t xml:space="preserve">0xb06df4dd...</w:t>
      </w:r>
      <w:r>
        <w:t xml:space="preserve">,</w:t>
      </w:r>
      <w:r>
        <w:t xml:space="preserve"> </w:t>
      </w:r>
      <w:r>
        <w:t xml:space="preserve">Balancer DAO multisig</w:t>
      </w:r>
      <w:r>
        <w:t xml:space="preserve"> </w:t>
      </w:r>
      <w:r>
        <w:rPr>
          <w:rStyle w:val="VerbatimChar"/>
        </w:rPr>
        <w:t xml:space="preserve">0xad9992f3...</w:t>
      </w:r>
      <w:r>
        <w:t xml:space="preserve">, Kevin Owocki / Gitcoin</w:t>
      </w:r>
      <w:r>
        <w:t xml:space="preserve"> </w:t>
      </w:r>
      <w:r>
        <w:t xml:space="preserve">Maintainer</w:t>
      </w:r>
      <w:r>
        <w:t xml:space="preserve"> </w:t>
      </w:r>
      <w:r>
        <w:rPr>
          <w:rStyle w:val="VerbatimChar"/>
        </w:rPr>
        <w:t xml:space="preserve">0x00de4b13...</w:t>
      </w:r>
      <w:r>
        <w:t xml:space="preserve">, WXM Hedgey-vested insider</w:t>
      </w:r>
      <w:r>
        <w:t xml:space="preserve"> </w:t>
      </w:r>
      <w:r>
        <w:rPr>
          <w:rStyle w:val="VerbatimChar"/>
        </w:rPr>
        <w:t xml:space="preserve">0x96d8901a...</w:t>
      </w:r>
      <w:r>
        <w:t xml:space="preserve">) captured in the sibling canonical store</w:t>
      </w:r>
      <w:r>
        <w:t xml:space="preserve"> </w:t>
      </w:r>
      <w:r>
        <w:rPr>
          <w:rStyle w:val="VerbatimChar"/>
        </w:rPr>
        <w:t xml:space="preserve">exclusions_log_signer.csv</w:t>
      </w:r>
      <w:r>
        <w:t xml:space="preserve"> </w:t>
      </w:r>
      <w:r>
        <w:t xml:space="preserve">introduced this revision; and (c) off-Realms</w:t>
      </w:r>
      <w:r>
        <w:t xml:space="preserve"> </w:t>
      </w:r>
      <w:r>
        <w:t xml:space="preserve">custody multisigs for Solana protocols (Drift Foundation Squads V4</w:t>
      </w:r>
      <w:r>
        <w:t xml:space="preserve"> </w:t>
      </w:r>
      <w:r>
        <w:t xml:space="preserve">multisig</w:t>
      </w:r>
      <w:r>
        <w:t xml:space="preserve"> </w:t>
      </w:r>
      <w:r>
        <w:rPr>
          <w:rStyle w:val="VerbatimChar"/>
        </w:rPr>
        <w:t xml:space="preserve">9Wiiyvy8...</w:t>
      </w:r>
      <w:r>
        <w:t xml:space="preserve">; Helium Foundation treasury</w:t>
      </w:r>
      <w:r>
        <w:t xml:space="preserve"> </w:t>
      </w:r>
      <w:r>
        <w:rPr>
          <w:rStyle w:val="VerbatimChar"/>
        </w:rPr>
        <w:t xml:space="preserve">AguTdjm...</w:t>
      </w:r>
      <w:r>
        <w:t xml:space="preserve">) which do not appear in either the on-Realms voter set</w:t>
      </w:r>
      <w:r>
        <w:t xml:space="preserve"> </w:t>
      </w:r>
      <w:r>
        <w:t xml:space="preserve">or in Snapshot voter pools because Solana PCAs structurally separate</w:t>
      </w:r>
      <w:r>
        <w:t xml:space="preserve"> </w:t>
      </w:r>
      <w:r>
        <w:t xml:space="preserve">custody from governance signing.</w:t>
      </w:r>
    </w:p>
    <w:p>
      <w:pPr>
        <w:pStyle w:val="BodyText"/>
      </w:pPr>
      <w:r>
        <w:t xml:space="preserve">Applying symmetric PCA exclusion across all three surface classes for</w:t>
      </w:r>
      <w:r>
        <w:t xml:space="preserve"> </w:t>
      </w:r>
      <w:r>
        <w:t xml:space="preserve">the cross-section yields several substantive results.</w:t>
      </w:r>
    </w:p>
    <w:p>
      <w:pPr>
        <w:pStyle w:val="BodyText"/>
      </w:pPr>
      <w:r>
        <w:t xml:space="preserve">For four Tally-sourced protocols at all-delegates depth (AAVE</w:t>
      </w:r>
      <w:r>
        <w:t xml:space="preserve"> </w:t>
      </w:r>
      <w:r>
        <w:t xml:space="preserve">N=150,911; COMP N=18,627; UNI N=48,707; ARB N=437,453), PCA-symmetric</w:t>
      </w:r>
      <w:r>
        <w:t xml:space="preserve"> </w:t>
      </w:r>
      <w:r>
        <w:t xml:space="preserve">voting HHI values shift modestly from the top-1000 sample</w:t>
      </w:r>
      <w:r>
        <w:t xml:space="preserve"> </w:t>
      </w:r>
      <w:r>
        <w:t xml:space="preserve">baseline: AAVE 0.0357 to 0.0324 (delta minus 0.0033); COMP 0.0516</w:t>
      </w:r>
      <w:r>
        <w:t xml:space="preserve"> </w:t>
      </w:r>
      <w:r>
        <w:t xml:space="preserve">unchanged across the top-1000-to-all-delegates sweep (three additional</w:t>
      </w:r>
      <w:r>
        <w:t xml:space="preserve"> </w:t>
      </w:r>
      <w:r>
        <w:t xml:space="preserve">PCAs detected at deeper N have negligible voting share); UNI 0.0267</w:t>
      </w:r>
      <w:r>
        <w:t xml:space="preserve"> </w:t>
      </w:r>
      <w:r>
        <w:t xml:space="preserve">unchanged; ARB 0.0340 to 0.0320 (delta minus 0.002). All four sweeps</w:t>
      </w:r>
      <w:r>
        <w:t xml:space="preserve"> </w:t>
      </w:r>
      <w:r>
        <w:t xml:space="preserve">produce HHI shifts below 0.005. ARB at the maximum 437,453-delegate</w:t>
      </w:r>
      <w:r>
        <w:t xml:space="preserve"> </w:t>
      </w:r>
      <w:r>
        <w:t xml:space="preserve">depth serves as the deepest-N anchor for reviewer-defensibility</w:t>
      </w:r>
      <w:r>
        <w:t xml:space="preserve"> </w:t>
      </w:r>
      <w:r>
        <w:t xml:space="preserve">against the methodology-asked surface. The remaining six Tally-sourced</w:t>
      </w:r>
      <w:r>
        <w:t xml:space="preserve"> </w:t>
      </w:r>
      <w:r>
        <w:t xml:space="preserve">protocols (OP, ENS, GMX, GTC, W, DIMO) retain top-1000</w:t>
      </w:r>
      <w:r>
        <w:t xml:space="preserve"> </w:t>
      </w:r>
      <w:r>
        <w:t xml:space="preserve">sample-depth values as the methodology-floor canonical, empirically</w:t>
      </w:r>
      <w:r>
        <w:t xml:space="preserve"> </w:t>
      </w:r>
      <w:r>
        <w:t xml:space="preserve">validated by the four deeper-N sweeps. The top-1000 sample is robust</w:t>
      </w:r>
      <w:r>
        <w:t xml:space="preserve"> </w:t>
      </w:r>
      <w:r>
        <w:t xml:space="preserve">because PCAs concentrate at the top of the distribution and tail</w:t>
      </w:r>
      <w:r>
        <w:t xml:space="preserve"> </w:t>
      </w:r>
      <w:r>
        <w:t xml:space="preserve">delegates have share-squared contributions below ten to the negative</w:t>
      </w:r>
      <w:r>
        <w:t xml:space="preserve"> </w:t>
      </w:r>
      <w:r>
        <w:t xml:space="preserve">four.</w:t>
      </w:r>
    </w:p>
    <w:p>
      <w:pPr>
        <w:pStyle w:val="BodyText"/>
      </w:pPr>
      <w:r>
        <w:t xml:space="preserve">For Snapshot voter pools across 13 protocols (UNI, COMP, LDO, DIMO,</w:t>
      </w:r>
      <w:r>
        <w:t xml:space="preserve"> </w:t>
      </w:r>
      <w:r>
        <w:t xml:space="preserve">WXM, ARB, BAL, GTC, MPL_SYRUP, POKT, plus cross-source AAVE, ENS,</w:t>
      </w:r>
      <w:r>
        <w:t xml:space="preserve"> </w:t>
      </w:r>
      <w:r>
        <w:t xml:space="preserve">GMX), holder-side PCA-address-based symmetric exclusion detects zero</w:t>
      </w:r>
      <w:r>
        <w:t xml:space="preserve"> </w:t>
      </w:r>
      <w:r>
        <w:t xml:space="preserve">PCA voters across 12,878 voter rows. Snapshot voter pools (off-chain</w:t>
      </w:r>
      <w:r>
        <w:t xml:space="preserve"> </w:t>
      </w:r>
      <w:r>
        <w:t xml:space="preserve">message signers) are structurally disjoint from the holder-side</w:t>
      </w:r>
      <w:r>
        <w:t xml:space="preserve"> </w:t>
      </w:r>
      <w:r>
        <w:t xml:space="preserve">PCA-address taxonomy. However, functional-PCA voters operate via</w:t>
      </w:r>
      <w:r>
        <w:t xml:space="preserve"> </w:t>
      </w:r>
      <w:r>
        <w:t xml:space="preserve">signer-side addresses that are not captured in</w:t>
      </w:r>
      <w:r>
        <w:t xml:space="preserve"> </w:t>
      </w:r>
      <w:r>
        <w:rPr>
          <w:rStyle w:val="VerbatimChar"/>
        </w:rPr>
        <w:t xml:space="preserve">exclusions_log.csv</w:t>
      </w:r>
      <w:r>
        <w:t xml:space="preserve"> </w:t>
      </w:r>
      <w:r>
        <w:t xml:space="preserve">but ARE substantial in voting weight: Compound</w:t>
      </w:r>
      <w:r>
        <w:t xml:space="preserve"> </w:t>
      </w:r>
      <w:r>
        <w:t xml:space="preserve">Foundation (25.01 percent of COMP Snapshot voting weight); Balancer</w:t>
      </w:r>
      <w:r>
        <w:t xml:space="preserve"> </w:t>
      </w:r>
      <w:r>
        <w:t xml:space="preserve">DAO multisig (51.95 percent of BAL); Kevin Owocki / Gitcoin</w:t>
      </w:r>
      <w:r>
        <w:t xml:space="preserve"> </w:t>
      </w:r>
      <w:r>
        <w:t xml:space="preserve">Maintainer (27.93 percent of GTC); WXM Hedgey-vested insider (74.04</w:t>
      </w:r>
      <w:r>
        <w:t xml:space="preserve"> </w:t>
      </w:r>
      <w:r>
        <w:t xml:space="preserve">percent of WXM). The original DIMO Foundation candidate cluster (rank-1</w:t>
      </w:r>
      <w:r>
        <w:t xml:space="preserve"> </w:t>
      </w:r>
      <w:r>
        <w:t xml:space="preserve">plus rank-2; 58.83 percent combined) was registered as a candidate protocol</w:t>
      </w:r>
      <w:r>
        <w:t xml:space="preserve"> </w:t>
      </w:r>
      <w:r>
        <w:t xml:space="preserve">in the initial expansion but subsequently REFUTED via Polygon Blockscout</w:t>
      </w:r>
      <w:r>
        <w:t xml:space="preserve"> </w:t>
      </w:r>
      <w:r>
        <w:t xml:space="preserve">MCP funding-source verification (neither voter holds substantial DIMO</w:t>
      </w:r>
      <w:r>
        <w:t xml:space="preserve"> </w:t>
      </w:r>
      <w:r>
        <w:t xml:space="preserve">tokens; the cluster represents active community delegates participating</w:t>
      </w:r>
      <w:r>
        <w:t xml:space="preserve"> </w:t>
      </w:r>
      <w:r>
        <w:t xml:space="preserve">in a thin N=10 voter pool, not functional PCAs); the DIMO entries were</w:t>
      </w:r>
      <w:r>
        <w:t xml:space="preserve"> </w:t>
      </w:r>
      <w:r>
        <w:t xml:space="preserve">removed from</w:t>
      </w:r>
      <w:r>
        <w:t xml:space="preserve"> </w:t>
      </w:r>
      <w:r>
        <w:rPr>
          <w:rStyle w:val="VerbatimChar"/>
        </w:rPr>
        <w:t xml:space="preserve">exclusions_log_signer.csv</w:t>
      </w:r>
      <w:r>
        <w:t xml:space="preserve">. The</w:t>
      </w:r>
      <w:r>
        <w:t xml:space="preserve"> </w:t>
      </w:r>
      <w:r>
        <w:rPr>
          <w:rStyle w:val="VerbatimChar"/>
        </w:rPr>
        <w:t xml:space="preserve">exclusions_log_signer.csv</w:t>
      </w:r>
      <w:r>
        <w:t xml:space="preserve"> </w:t>
      </w:r>
      <w:r>
        <w:t xml:space="preserve">canonical store registers the four confirmed</w:t>
      </w:r>
      <w:r>
        <w:t xml:space="preserve"> </w:t>
      </w:r>
      <w:r>
        <w:t xml:space="preserve">signer-side functional PCAs (COMP + BAL + GTC + WXM).</w:t>
      </w:r>
    </w:p>
    <w:p>
      <w:pPr>
        <w:pStyle w:val="BodyText"/>
      </w:pPr>
      <w:r>
        <w:t xml:space="preserve">A methodologically substantive finding from the Snapshot signer-side</w:t>
      </w:r>
      <w:r>
        <w:t xml:space="preserve"> </w:t>
      </w:r>
      <w:r>
        <w:t xml:space="preserve">PCA-symmetric recompute is that the exclusion direction is NOT</w:t>
      </w:r>
      <w:r>
        <w:t xml:space="preserve"> </w:t>
      </w:r>
      <w:r>
        <w:t xml:space="preserve">monotonic in the concentration-reduction direction. For three of the</w:t>
      </w:r>
      <w:r>
        <w:t xml:space="preserve"> </w:t>
      </w:r>
      <w:r>
        <w:t xml:space="preserve">four Snapshot-sourced protocols with confirmed signer-side functional</w:t>
      </w:r>
      <w:r>
        <w:t xml:space="preserve"> </w:t>
      </w:r>
      <w:r>
        <w:t xml:space="preserve">PCAs, exclusion produces the expected concentration-reduction</w:t>
      </w:r>
      <w:r>
        <w:t xml:space="preserve"> </w:t>
      </w:r>
      <w:r>
        <w:t xml:space="preserve">direction: COMP HHI shifts from 0.0889 to 0.0468 (delta minus 0.0421);</w:t>
      </w:r>
      <w:r>
        <w:t xml:space="preserve"> </w:t>
      </w:r>
      <w:r>
        <w:t xml:space="preserve">BAL from 0.3045 to 0.1499 (delta minus 0.1546); WXM from 0.5561 to</w:t>
      </w:r>
      <w:r>
        <w:t xml:space="preserve"> </w:t>
      </w:r>
      <w:r>
        <w:t xml:space="preserve">0.1184 (delta minus 0.4377). For the remaining protocol, signer-side</w:t>
      </w:r>
      <w:r>
        <w:t xml:space="preserve"> </w:t>
      </w:r>
      <w:r>
        <w:t xml:space="preserve">PCA exclusion INCREASES voting HHI: GTC shifts from 0.1792 to 0.1948</w:t>
      </w:r>
      <w:r>
        <w:t xml:space="preserve"> </w:t>
      </w:r>
      <w:r>
        <w:t xml:space="preserve">(delta plus 0.0156). For comparison, the initial DIMO Foundation</w:t>
      </w:r>
      <w:r>
        <w:t xml:space="preserve"> </w:t>
      </w:r>
      <w:r>
        <w:t xml:space="preserve">candidate exclusion (before the candidate cluster was refuted via</w:t>
      </w:r>
      <w:r>
        <w:t xml:space="preserve"> </w:t>
      </w:r>
      <w:r>
        <w:t xml:space="preserve">Blockscout MCP verification) would have produced a 0.2280 to 0.3242</w:t>
      </w:r>
      <w:r>
        <w:t xml:space="preserve"> </w:t>
      </w:r>
      <w:r>
        <w:t xml:space="preserve">shift (delta plus 0.0962); this computation is reported for</w:t>
      </w:r>
      <w:r>
        <w:t xml:space="preserve"> </w:t>
      </w:r>
      <w:r>
        <w:t xml:space="preserve">completeness. The reverse-direction pattern arises</w:t>
      </w:r>
      <w:r>
        <w:t xml:space="preserve"> </w:t>
      </w:r>
      <w:r>
        <w:t xml:space="preserve">from a smaller-denominator effect: when the excluded PCA holds a</w:t>
      </w:r>
      <w:r>
        <w:t xml:space="preserve"> </w:t>
      </w:r>
      <w:r>
        <w:t xml:space="preserve">dominant share of total voting weight (GTC top-1 at 28 percent;</w:t>
      </w:r>
      <w:r>
        <w:t xml:space="preserve"> </w:t>
      </w:r>
      <w:r>
        <w:t xml:space="preserve">DIMO candidate cluster at 59 percent combined pre-refutation), the</w:t>
      </w:r>
      <w:r>
        <w:t xml:space="preserve"> </w:t>
      </w:r>
      <w:r>
        <w:t xml:space="preserve">remaining voters become MORE concentrated relative to each other under</w:t>
      </w:r>
      <w:r>
        <w:t xml:space="preserve"> </w:t>
      </w:r>
      <w:r>
        <w:t xml:space="preserve">the smaller post-exclusion total. The pattern is most extreme in small voter pools (DIMO N</w:t>
      </w:r>
      <w:r>
        <w:t xml:space="preserve"> </w:t>
      </w:r>
      <w:r>
        <w:t xml:space="preserve">equals 10 voters); larger pools dilute the effect. The methodological</w:t>
      </w:r>
      <w:r>
        <w:t xml:space="preserve"> </w:t>
      </w:r>
      <w:r>
        <w:t xml:space="preserve">implication is that PCA-symmetric exclusion is a substantive</w:t>
      </w:r>
      <w:r>
        <w:t xml:space="preserve"> </w:t>
      </w:r>
      <w:r>
        <w:t xml:space="preserve">direction-of-effect test rather than a mechanical</w:t>
      </w:r>
      <w:r>
        <w:t xml:space="preserve"> </w:t>
      </w:r>
      <w:r>
        <w:t xml:space="preserve">concentration-reduction adjustment: when exclusion increases HHI, the</w:t>
      </w:r>
      <w:r>
        <w:t xml:space="preserve"> </w:t>
      </w:r>
      <w:r>
        <w:t xml:space="preserve">finding indicates that PCA concentration was masking a more</w:t>
      </w:r>
      <w:r>
        <w:t xml:space="preserve"> </w:t>
      </w:r>
      <w:r>
        <w:t xml:space="preserve">concentrated underlying distribution among non-PCA voters, which is</w:t>
      </w:r>
      <w:r>
        <w:t xml:space="preserve"> </w:t>
      </w:r>
      <w:r>
        <w:t xml:space="preserve">itself a substantive structural feature of the protocol’s governance.</w:t>
      </w:r>
    </w:p>
    <w:p>
      <w:pPr>
        <w:pStyle w:val="BodyText"/>
      </w:pPr>
      <w:r>
        <w:t xml:space="preserve">For Solana governance (three protocols at proper-weight methodology),</w:t>
      </w:r>
      <w:r>
        <w:t xml:space="preserve"> </w:t>
      </w:r>
      <w:r>
        <w:t xml:space="preserve">the apples-to-apples comparable voting HHI values are JUP 0.00546</w:t>
      </w:r>
      <w:r>
        <w:t xml:space="preserve"> </w:t>
      </w:r>
      <w:r>
        <w:t xml:space="preserve">(Jupiter; via per-signer max(weight) on</w:t>
      </w:r>
      <w:r>
        <w:t xml:space="preserve"> </w:t>
      </w:r>
      <w:r>
        <w:rPr>
          <w:rStyle w:val="VerbatimChar"/>
        </w:rPr>
        <w:t xml:space="preserve">jupiter_solana.govern_call_setvote</w:t>
      </w:r>
      <w:r>
        <w:t xml:space="preserve">); HNT 0.0261 to 0.0394</w:t>
      </w:r>
      <w:r>
        <w:t xml:space="preserve"> </w:t>
      </w:r>
      <w:r>
        <w:t xml:space="preserve">(Helium; sensitivity range via VSR position-state reconstruction;</w:t>
      </w:r>
      <w:r>
        <w:t xml:space="preserve"> </w:t>
      </w:r>
      <w:r>
        <w:t xml:space="preserve">14.8 percent closed-position rate documents the bounds);</w:t>
      </w:r>
      <w:r>
        <w:t xml:space="preserve"> </w:t>
      </w:r>
      <w:r>
        <w:t xml:space="preserve">DRIFT 0.0833 (Drift Protocol; via Solana RPC parsing of the DRIFT</w:t>
      </w:r>
      <w:r>
        <w:t xml:space="preserve"> </w:t>
      </w:r>
      <w:r>
        <w:t xml:space="preserve">governance program VoteRecordV2 accounts). The DRIFT Squads V4 PCA</w:t>
      </w:r>
      <w:r>
        <w:t xml:space="preserve"> </w:t>
      </w:r>
      <w:r>
        <w:t xml:space="preserve">address does not appear in the DRIFT voter set, confirming the</w:t>
      </w:r>
      <w:r>
        <w:t xml:space="preserve"> </w:t>
      </w:r>
      <w:r>
        <w:t xml:space="preserve">Solana structural separation between custody and governance signing</w:t>
      </w:r>
      <w:r>
        <w:t xml:space="preserve"> </w:t>
      </w:r>
      <w:r>
        <w:t xml:space="preserve">documented in the Realms governance survey. JUP is the only Solana</w:t>
      </w:r>
      <w:r>
        <w:t xml:space="preserve"> </w:t>
      </w:r>
      <w:r>
        <w:t xml:space="preserve">protocol exhibiting voting concentration order-of-magnitude below</w:t>
      </w:r>
      <w:r>
        <w:t xml:space="preserve"> </w:t>
      </w:r>
      <w:r>
        <w:t xml:space="preserve">the EVM cross-section median; HNT and DRIFT cluster within</w:t>
      </w:r>
      <w:r>
        <w:t xml:space="preserve"> </w:t>
      </w:r>
      <w:r>
        <w:t xml:space="preserve">EVM-typical voting HHI range. Section 4.5.4 documents the</w:t>
      </w:r>
      <w:r>
        <w:t xml:space="preserve"> </w:t>
      </w:r>
      <w:r>
        <w:t xml:space="preserve">within-Solana governance heterogeneity; Section 4.5.4.1 documents</w:t>
      </w:r>
      <w:r>
        <w:t xml:space="preserve"> </w:t>
      </w:r>
      <w:r>
        <w:t xml:space="preserve">the Drift Foundation proposal-authorship-versus-vote-weight</w:t>
      </w:r>
      <w:r>
        <w:t xml:space="preserve"> </w:t>
      </w:r>
      <w:r>
        <w:t xml:space="preserve">decoupling pattern; Section 4.5.5 documents the cross-protocol</w:t>
      </w:r>
      <w:r>
        <w:t xml:space="preserve"> </w:t>
      </w:r>
      <w:r>
        <w:t xml:space="preserve">institutional-governance-investor pattern.</w:t>
      </w:r>
    </w:p>
    <w:p>
      <w:pPr>
        <w:pStyle w:val="BodyText"/>
      </w:pPr>
      <w:r>
        <w:t xml:space="preserve">For Realms-resident Solana DAOs (DRIFT, HNT parent, HNT MOBILE and</w:t>
      </w:r>
      <w:r>
        <w:t xml:space="preserve"> </w:t>
      </w:r>
      <w:r>
        <w:t xml:space="preserve">IOT sub-DAOs), the Realms public surface exposes</w:t>
      </w:r>
      <w:r>
        <w:t xml:space="preserve"> </w:t>
      </w:r>
      <w:r>
        <w:t xml:space="preserve">participation-count proxy not VSR-weighted voting power without a</w:t>
      </w:r>
      <w:r>
        <w:t xml:space="preserve"> </w:t>
      </w:r>
      <w:r>
        <w:t xml:space="preserve">connected wallet; voting-side HHI in the Tally-equivalent</w:t>
      </w:r>
      <w:r>
        <w:t xml:space="preserve"> </w:t>
      </w:r>
      <w:r>
        <w:t xml:space="preserve">specification cannot be computed from the Realms DOM surface alone.</w:t>
      </w:r>
      <w:r>
        <w:t xml:space="preserve"> </w:t>
      </w:r>
      <w:r>
        <w:t xml:space="preserve">Direct on-chain SPL Governance program parsing (the approach used</w:t>
      </w:r>
      <w:r>
        <w:t xml:space="preserve"> </w:t>
      </w:r>
      <w:r>
        <w:t xml:space="preserve">for DRIFT in this revision) is the methodological alternative.</w:t>
      </w:r>
      <w:r>
        <w:t xml:space="preserve"> </w:t>
      </w:r>
      <w:r>
        <w:t xml:space="preserve">Five Solana protocols in the cross-section (HONEY, IO, META, RENDER,</w:t>
      </w:r>
      <w:r>
        <w:t xml:space="preserve"> </w:t>
      </w:r>
      <w:r>
        <w:t xml:space="preserve">GRASS) host governance off-Realms and outside the Snapshot space,</w:t>
      </w:r>
      <w:r>
        <w:t xml:space="preserve"> </w:t>
      </w:r>
      <w:r>
        <w:t xml:space="preserve">producing a documented gap in voting-side coverage for those</w:t>
      </w:r>
      <w:r>
        <w:t xml:space="preserve"> </w:t>
      </w:r>
      <w:r>
        <w:t xml:space="preserve">protocols; holder-side concentration metrics from the Helius DAS API</w:t>
      </w:r>
      <w:r>
        <w:t xml:space="preserve"> </w:t>
      </w:r>
      <w:r>
        <w:t xml:space="preserve">top-1000 holders pull remain the canonical Solana coverage for the</w:t>
      </w:r>
      <w:r>
        <w:t xml:space="preserve"> </w:t>
      </w:r>
      <w:r>
        <w:t xml:space="preserve">gap-protocol subset.</w:t>
      </w:r>
    </w:p>
    <w:p>
      <w:pPr>
        <w:pStyle w:val="BodyText"/>
      </w:pPr>
      <w:r>
        <w:t xml:space="preserve">The methodology-floor canonical for the voting-HHI cross-section is</w:t>
      </w:r>
      <w:r>
        <w:t xml:space="preserve"> </w:t>
      </w:r>
      <w:r>
        <w:t xml:space="preserve">top-1000 sample depth for Tally + Snapshot, plus proper-weight</w:t>
      </w:r>
      <w:r>
        <w:t xml:space="preserve"> </w:t>
      </w:r>
      <w:r>
        <w:t xml:space="preserve">methodology for VSR-using protocols (Helium VSR; Jupiter governance;</w:t>
      </w:r>
      <w:r>
        <w:t xml:space="preserve"> </w:t>
      </w:r>
      <w:r>
        <w:t xml:space="preserve">Drift governance); the predominant-amplification finding (Section 4.5) is</w:t>
      </w:r>
      <w:r>
        <w:t xml:space="preserve"> </w:t>
      </w:r>
      <w:r>
        <w:t xml:space="preserve">robust to: (a) top-1000 versus all-delegates sampling depth on</w:t>
      </w:r>
      <w:r>
        <w:t xml:space="preserve"> </w:t>
      </w:r>
      <w:r>
        <w:t xml:space="preserve">Tally (empirically validated by 4-of-10 protocols at all-delegates</w:t>
      </w:r>
      <w:r>
        <w:t xml:space="preserve"> </w:t>
      </w:r>
      <w:r>
        <w:t xml:space="preserve">depth with sub-0.005 HHI shifts); (b) PCA-symmetric exclusion via</w:t>
      </w:r>
      <w:r>
        <w:t xml:space="preserve"> </w:t>
      </w:r>
      <w:r>
        <w:t xml:space="preserve">holder-side plus signer-side canonical stores on Snapshot (under</w:t>
      </w:r>
      <w:r>
        <w:t xml:space="preserve"> </w:t>
      </w:r>
      <w:r>
        <w:t xml:space="preserve">both monotonic and non-monotonic direction-of-effect outcomes);</w:t>
      </w:r>
      <w:r>
        <w:t xml:space="preserve"> </w:t>
      </w:r>
      <w:r>
        <w:t xml:space="preserve">(c) proper-weight versus vote-count methodology on VSR-using</w:t>
      </w:r>
      <w:r>
        <w:t xml:space="preserve"> </w:t>
      </w:r>
      <w:r>
        <w:t xml:space="preserve">protocols (the vote-count proxy understates concentration by 5x</w:t>
      </w:r>
      <w:r>
        <w:t xml:space="preserve"> </w:t>
      </w:r>
      <w:r>
        <w:t xml:space="preserve">to 7.5x for HNT per the multi-source extension EC log). Full</w:t>
      </w:r>
      <w:r>
        <w:t xml:space="preserve"> </w:t>
      </w:r>
      <w:r>
        <w:t xml:space="preserve">per-protocol detail and signer-side PCA case interpretations in</w:t>
      </w:r>
      <w:r>
        <w:t xml:space="preserve"> </w:t>
      </w:r>
      <w:hyperlink r:id="rId75">
        <w:r>
          <w:rPr>
            <w:rStyle w:val="Hyperlink"/>
          </w:rPr>
          <w:t xml:space="preserve">Supplementary File S12</w:t>
        </w:r>
      </w:hyperlink>
      <w:r>
        <w:t xml:space="preserve">.</w:t>
      </w:r>
    </w:p>
    <w:p>
      <w:pPr>
        <w:pStyle w:val="BodyText"/>
      </w:pPr>
      <w:r>
        <w:t xml:space="preserve">The sector-contrast robustness extends to the PCA-classification specification choice. Table 7 reports the Mann-Whitney sector test recomputed under five progressively stricter alternative exclusion specifications (Specs A through E; full per-specification narrative in Supplementary File S10). The directional claim (DePIN HHI &gt; DeFi HHI in central tendency) holds under every specification (Cohen’s d positive in all five). Statistical significance at the conventional 0.05 threshold requires the canonical 5-class typology (Spec A) or near-equivalents (Spec B drops Class 5 CEX custody and retains significance); progressively reducing exclusion strictness absorbs non-vote-eligible custody mass into the holding distribution and exhausts the sector signal at Specs D and E. The PCA exclusion methodology applied throughout the paper is therefore load-bearing for the inferential claim of statistical significance; the directional claim is robust to specification choice.</w:t>
      </w:r>
    </w:p>
    <w:tbl>
      <w:tblPr>
        <w:tblStyle w:val="Table"/>
        <w:tblW w:type="pct" w:w="4903"/>
        <w:tblLayout w:type="fixed"/>
        <w:tblLook w:firstRow="1" w:lastRow="0" w:firstColumn="0" w:lastColumn="0" w:noHBand="0" w:noVBand="0" w:val="0020"/>
      </w:tblPr>
      <w:tblGrid>
        <w:gridCol w:w="768"/>
        <w:gridCol w:w="4536"/>
        <w:gridCol w:w="1076"/>
        <w:gridCol w:w="692"/>
        <w:gridCol w:w="692"/>
      </w:tblGrid>
      <w:tr>
        <w:trPr>
          <w:tblHeader w:val="on"/>
        </w:trPr>
        <w:tc>
          <w:tcPr/>
          <w:p>
            <w:pPr>
              <w:pStyle w:val="Compact"/>
              <w:jc w:val="left"/>
            </w:pPr>
            <w:r>
              <w:t xml:space="preserve">Spec</w:t>
            </w:r>
          </w:p>
        </w:tc>
        <w:tc>
          <w:tcPr/>
          <w:p>
            <w:pPr>
              <w:pStyle w:val="Compact"/>
              <w:jc w:val="left"/>
            </w:pPr>
            <w:r>
              <w:t xml:space="preserve">Description</w:t>
            </w:r>
          </w:p>
        </w:tc>
        <w:tc>
          <w:tcPr/>
          <w:p>
            <w:pPr>
              <w:pStyle w:val="Compact"/>
              <w:jc w:val="left"/>
            </w:pPr>
            <w:r>
              <w:t xml:space="preserve">Excluded</w:t>
            </w:r>
          </w:p>
        </w:tc>
        <w:tc>
          <w:tcPr/>
          <w:p>
            <w:pPr>
              <w:pStyle w:val="Compact"/>
              <w:jc w:val="left"/>
            </w:pPr>
            <w:r>
              <w:t xml:space="preserve">p</w:t>
            </w:r>
          </w:p>
        </w:tc>
        <w:tc>
          <w:tcPr/>
          <w:p>
            <w:pPr>
              <w:pStyle w:val="Compact"/>
              <w:jc w:val="left"/>
            </w:pPr>
            <w:r>
              <w:t xml:space="preserve">d</w:t>
            </w:r>
          </w:p>
        </w:tc>
      </w:tr>
      <w:tr>
        <w:tc>
          <w:tcPr/>
          <w:p>
            <w:pPr>
              <w:pStyle w:val="Compact"/>
              <w:jc w:val="left"/>
            </w:pPr>
            <w:r>
              <w:t xml:space="preserve">A</w:t>
            </w:r>
          </w:p>
        </w:tc>
        <w:tc>
          <w:tcPr/>
          <w:p>
            <w:pPr>
              <w:pStyle w:val="Compact"/>
              <w:jc w:val="left"/>
            </w:pPr>
            <w:r>
              <w:t xml:space="preserve">Canonical 5-class (all 5 classes excluded)</w:t>
            </w:r>
          </w:p>
        </w:tc>
        <w:tc>
          <w:tcPr/>
          <w:p>
            <w:pPr>
              <w:pStyle w:val="Compact"/>
              <w:jc w:val="left"/>
            </w:pPr>
            <w:r>
              <w:t xml:space="preserve">125 / 36 prot</w:t>
            </w:r>
          </w:p>
        </w:tc>
        <w:tc>
          <w:tcPr/>
          <w:p>
            <w:pPr>
              <w:pStyle w:val="Compact"/>
              <w:jc w:val="left"/>
            </w:pPr>
            <w:r>
              <w:t xml:space="preserve">0.029</w:t>
            </w:r>
          </w:p>
        </w:tc>
        <w:tc>
          <w:tcPr/>
          <w:p>
            <w:pPr>
              <w:pStyle w:val="Compact"/>
              <w:jc w:val="left"/>
            </w:pPr>
            <w:r>
              <w:t xml:space="preserve">0.94</w:t>
            </w:r>
          </w:p>
        </w:tc>
      </w:tr>
      <w:tr>
        <w:tc>
          <w:tcPr/>
          <w:p>
            <w:pPr>
              <w:pStyle w:val="Compact"/>
              <w:jc w:val="left"/>
            </w:pPr>
            <w:r>
              <w:t xml:space="preserve">B</w:t>
            </w:r>
          </w:p>
        </w:tc>
        <w:tc>
          <w:tcPr/>
          <w:p>
            <w:pPr>
              <w:pStyle w:val="Compact"/>
              <w:jc w:val="left"/>
            </w:pPr>
            <w:r>
              <w:t xml:space="preserve">Drop Class 5 (CEX custody retained)</w:t>
            </w:r>
          </w:p>
        </w:tc>
        <w:tc>
          <w:tcPr/>
          <w:p>
            <w:pPr>
              <w:pStyle w:val="Compact"/>
              <w:jc w:val="left"/>
            </w:pPr>
            <w:r>
              <w:t xml:space="preserve">106</w:t>
            </w:r>
          </w:p>
        </w:tc>
        <w:tc>
          <w:tcPr/>
          <w:p>
            <w:pPr>
              <w:pStyle w:val="Compact"/>
              <w:jc w:val="left"/>
            </w:pPr>
            <w:r>
              <w:t xml:space="preserve">0.039</w:t>
            </w:r>
          </w:p>
        </w:tc>
        <w:tc>
          <w:tcPr/>
          <w:p>
            <w:pPr>
              <w:pStyle w:val="Compact"/>
              <w:jc w:val="left"/>
            </w:pPr>
            <w:r>
              <w:t xml:space="preserve">0.84</w:t>
            </w:r>
          </w:p>
        </w:tc>
      </w:tr>
      <w:tr>
        <w:tc>
          <w:tcPr/>
          <w:p>
            <w:pPr>
              <w:pStyle w:val="Compact"/>
              <w:jc w:val="left"/>
            </w:pPr>
            <w:r>
              <w:t xml:space="preserve">C</w:t>
            </w:r>
          </w:p>
        </w:tc>
        <w:tc>
          <w:tcPr/>
          <w:p>
            <w:pPr>
              <w:pStyle w:val="Compact"/>
              <w:jc w:val="left"/>
            </w:pPr>
            <w:r>
              <w:t xml:space="preserve">Drop Class 4 + 5 (bridge + CEX retained)</w:t>
            </w:r>
          </w:p>
        </w:tc>
        <w:tc>
          <w:tcPr/>
          <w:p>
            <w:pPr>
              <w:pStyle w:val="Compact"/>
              <w:jc w:val="left"/>
            </w:pPr>
            <w:r>
              <w:t xml:space="preserve">98</w:t>
            </w:r>
          </w:p>
        </w:tc>
        <w:tc>
          <w:tcPr/>
          <w:p>
            <w:pPr>
              <w:pStyle w:val="Compact"/>
              <w:jc w:val="left"/>
            </w:pPr>
            <w:r>
              <w:t xml:space="preserve">0.115</w:t>
            </w:r>
          </w:p>
        </w:tc>
        <w:tc>
          <w:tcPr/>
          <w:p>
            <w:pPr>
              <w:pStyle w:val="Compact"/>
              <w:jc w:val="left"/>
            </w:pPr>
            <w:r>
              <w:t xml:space="preserve">0.60</w:t>
            </w:r>
          </w:p>
        </w:tc>
      </w:tr>
      <w:tr>
        <w:tc>
          <w:tcPr/>
          <w:p>
            <w:pPr>
              <w:pStyle w:val="Compact"/>
              <w:jc w:val="left"/>
            </w:pPr>
            <w:r>
              <w:t xml:space="preserve">D</w:t>
            </w:r>
          </w:p>
        </w:tc>
        <w:tc>
          <w:tcPr/>
          <w:p>
            <w:pPr>
              <w:pStyle w:val="Compact"/>
              <w:jc w:val="left"/>
            </w:pPr>
            <w:r>
              <w:t xml:space="preserve">Drop Class 3 + 4 + 5 (only Classes 1 + 2 excluded)</w:t>
            </w:r>
          </w:p>
        </w:tc>
        <w:tc>
          <w:tcPr/>
          <w:p>
            <w:pPr>
              <w:pStyle w:val="Compact"/>
              <w:jc w:val="left"/>
            </w:pPr>
            <w:r>
              <w:t xml:space="preserve">86</w:t>
            </w:r>
          </w:p>
        </w:tc>
        <w:tc>
          <w:tcPr/>
          <w:p>
            <w:pPr>
              <w:pStyle w:val="Compact"/>
              <w:jc w:val="left"/>
            </w:pPr>
            <w:r>
              <w:t xml:space="preserve">0.610</w:t>
            </w:r>
          </w:p>
        </w:tc>
        <w:tc>
          <w:tcPr/>
          <w:p>
            <w:pPr>
              <w:pStyle w:val="Compact"/>
              <w:jc w:val="left"/>
            </w:pPr>
            <w:r>
              <w:t xml:space="preserve">0.17</w:t>
            </w:r>
          </w:p>
        </w:tc>
      </w:tr>
      <w:tr>
        <w:tc>
          <w:tcPr/>
          <w:p>
            <w:pPr>
              <w:pStyle w:val="Compact"/>
              <w:jc w:val="left"/>
            </w:pPr>
            <w:r>
              <w:t xml:space="preserve">E</w:t>
            </w:r>
          </w:p>
        </w:tc>
        <w:tc>
          <w:tcPr/>
          <w:p>
            <w:pPr>
              <w:pStyle w:val="Compact"/>
              <w:jc w:val="left"/>
            </w:pPr>
            <w:r>
              <w:t xml:space="preserve">Drop Class 2 + 3 + 4 + 5 (only burn destinations excluded)</w:t>
            </w:r>
          </w:p>
        </w:tc>
        <w:tc>
          <w:tcPr/>
          <w:p>
            <w:pPr>
              <w:pStyle w:val="Compact"/>
              <w:jc w:val="left"/>
            </w:pPr>
            <w:r>
              <w:t xml:space="preserve">10</w:t>
            </w:r>
          </w:p>
        </w:tc>
        <w:tc>
          <w:tcPr/>
          <w:p>
            <w:pPr>
              <w:pStyle w:val="Compact"/>
              <w:jc w:val="left"/>
            </w:pPr>
            <w:r>
              <w:t xml:space="preserve">0.512</w:t>
            </w:r>
          </w:p>
        </w:tc>
        <w:tc>
          <w:tcPr/>
          <w:p>
            <w:pPr>
              <w:pStyle w:val="Compact"/>
              <w:jc w:val="left"/>
            </w:pPr>
            <w:r>
              <w:t xml:space="preserve">0.35</w:t>
            </w:r>
          </w:p>
        </w:tc>
      </w:tr>
    </w:tbl>
    <w:p>
      <w:pPr>
        <w:pStyle w:val="BodyText"/>
      </w:pPr>
      <w:r>
        <w:rPr>
          <w:b/>
          <w:bCs/>
          <w:i/>
          <w:iCs/>
        </w:rPr>
        <w:t xml:space="preserve">Table 7.</w:t>
      </w:r>
      <w:r>
        <w:rPr>
          <w:i/>
          <w:iCs/>
        </w:rPr>
        <w:t xml:space="preserve"> </w:t>
      </w:r>
      <w:r>
        <w:rPr>
          <w:i/>
          <w:iCs/>
        </w:rPr>
        <w:t xml:space="preserve">PCA-classification robustness: Mann-Whitney sector test under five alternative exclusion specifications applied to the N = 30 DePIN-vs-DeFi sector contrast. Specs A and B retain conventional statistical significance (p &lt; 0.05) with large Cohen’s d; Spec C produces a medium-effect contrast that fails the 0.05 threshold at N = 30; Specs D and E (minimal exclusions) absorb so much non-vote-eligible signal into the holding distribution that the sector-contrast statistical power is exhausted. Cohen’s d is positive across all five specifications: the directional cross-protocol pattern is not an artifact of specific PCA-exclusion choices. Per-specification narrative interpretation and alternative-classification rationale in Supplementary File S10.</w:t>
      </w:r>
    </w:p>
    <w:p>
      <w:pPr>
        <w:pStyle w:val="BodyText"/>
      </w:pPr>
      <w:r>
        <w:t xml:space="preserve">Other extended robustness analyses are documented in supplementary materials rather than reproduced in full here: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 Rank ordering across concentration metrics is stable: HHI-Theil Pearson r = 0.77 and HHI-Gini Pearson r = 0.59 (p &lt; 0.001, N = 40) on the post-exclusion sample, confirming that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metric adds some independent information about distributional shape while agreeing on protocol rank ordering.</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6"/>
    <w:bookmarkEnd w:id="77"/>
    <w:bookmarkStart w:id="89" w:name="discussion"/>
    <w:p>
      <w:pPr>
        <w:pStyle w:val="Heading1"/>
      </w:pPr>
      <w:r>
        <w:t xml:space="preserve">5 Discussion</w:t>
      </w:r>
    </w:p>
    <w:bookmarkStart w:id="78"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78"/>
    <w:bookmarkStart w:id="79"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79"/>
    <w:bookmarkStart w:id="80"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80"/>
    <w:bookmarkStart w:id="81"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81"/>
    <w:bookmarkStart w:id="82"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p>
    <w:bookmarkEnd w:id="82"/>
    <w:bookmarkStart w:id="83"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83"/>
    <w:bookmarkStart w:id="84"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84"/>
    <w:bookmarkStart w:id="87"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5">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86">
        <w:r>
          <w:rPr>
            <w:rStyle w:val="Hyperlink"/>
          </w:rPr>
          <w:t xml:space="preserve">Supplementary File S17</w:t>
        </w:r>
      </w:hyperlink>
      <w:r>
        <w:t xml:space="preserve">.</w:t>
      </w:r>
    </w:p>
    <w:bookmarkEnd w:id="87"/>
    <w:bookmarkStart w:id="88"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88"/>
    <w:bookmarkEnd w:id="89"/>
    <w:bookmarkStart w:id="90"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90"/>
    <w:bookmarkStart w:id="91"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91"/>
    <w:bookmarkStart w:id="92"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2"/>
    <w:bookmarkStart w:id="93"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2026-05-27T04:08:00Z</dcterms:created>
  <dcterms:modified xsi:type="dcterms:W3CDTF">2026-05-27T04:08:00Z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