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and current institutional structure (sector,</w:t>
      </w:r>
      <w:r>
        <w:t xml:space="preserve"> </w:t>
      </w:r>
      <w:r>
        <w:t xml:space="preserve">insider retention, and delegation design) is the more informative</w:t>
      </w:r>
      <w:r>
        <w:t xml:space="preserve"> </w:t>
      </w:r>
      <w:r>
        <w:t xml:space="preserve">correlate.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3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3.8),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ENS (0.48x), GMX</w:t>
      </w:r>
      <w:r>
        <w:rPr>
          <w:i/>
          <w:iCs/>
        </w:rPr>
        <w:t xml:space="preserve"> </w:t>
      </w:r>
      <w:r>
        <w:rPr>
          <w:i/>
          <w:iCs/>
        </w:rPr>
        <w:t xml:space="preserve">(0.87x), HNT (0.26x to 0.39x), JUP (0.12x, the most-extreme dispersion</w:t>
      </w:r>
      <w:r>
        <w:rPr>
          <w:i/>
          <w:iCs/>
        </w:rPr>
        <w:t xml:space="preserve"> </w:t>
      </w:r>
      <w:r>
        <w:rPr>
          <w:i/>
          <w:iCs/>
        </w:rPr>
        <w:t xml:space="preserve">outlier), and Livepeer (0.27x, the most pronounced DePIN governance</w:t>
      </w:r>
      <w:r>
        <w:rPr>
          <w:i/>
          <w:iCs/>
        </w:rPr>
        <w:t xml:space="preserve"> </w:t>
      </w:r>
      <w:r>
        <w:rPr>
          <w:i/>
          <w:iCs/>
        </w:rPr>
        <w:t xml:space="preserve">disperser).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at 0.48x; GMX at 0.87x; HNT at 0.26x-0.39x; JUP at 0.12x; and LPT at 0.27x are</w:t>
      </w:r>
      <w:r>
        <w:t xml:space="preserve"> </w:t>
      </w:r>
      <w:r>
        <w:t xml:space="preserve">the five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r>
        <w:t xml:space="preserve"> </w:t>
      </w:r>
      <w:r>
        <w:t xml:space="preserve">sample, the 2.5x to 25.6x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(ENS at 0.48x; GMX at 0.87x; HNT at 0.26x-0.39x; JUP at 0.12x; LPT at 0.27x)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2026-06-01T04:30:38Z</dcterms:created>
  <dcterms:modified xsi:type="dcterms:W3CDTF">2026-06-01T04:30:38Z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