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0.023,</w:t>
      </w:r>
      <w:r>
        <w:t xml:space="preserve"> </w:t>
      </w:r>
      <w:r>
        <w:t xml:space="preserve">Cohen’s d = 1.00),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0.023, Cohen’s d = 1.00),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four-class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69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the cumulative supply share held by</w:t>
      </w:r>
      <w:r>
        <w:t xml:space="preserve"> </w:t>
      </w:r>
      <w:r>
        <w:t xml:space="preserve">the top 10 and top 100 holders within the post-exclusion top-1,000-holder</w:t>
      </w:r>
      <w:r>
        <w:t xml:space="preserve"> </w:t>
      </w:r>
      <w:r>
        <w:t xml:space="preserve">sample (one percent and ten percent of N = 1,000, respectively). For</w:t>
      </w:r>
      <w:r>
        <w:t xml:space="preserve"> </w:t>
      </w:r>
      <w:r>
        <w:t xml:space="preserve">protocols with fewer than 1,000 unique non-zero holders after exclusion,</w:t>
      </w:r>
      <w:r>
        <w:t xml:space="preserve"> </w:t>
      </w:r>
      <w:r>
        <w:t xml:space="preserve">the same percentile fractions apply to the actual N.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(69 addresses across 20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four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t xml:space="preserve">Across the four classes, this paper excludes 69 PCA addresses across</w:t>
      </w:r>
      <w:r>
        <w:t xml:space="preserve"> </w:t>
      </w:r>
      <w:r>
        <w:t xml:space="preserve">20 protocols (Supplementary File S6).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four-class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69</w:t>
      </w:r>
      <w:r>
        <w:t xml:space="preserve"> </w:t>
      </w:r>
      <w:r>
        <w:t xml:space="preserve">protocol-controlled addresses across 20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69 protocol-controlled addresses excluded across 20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0.090 vs. 0.043; Mann-Whitney p = 0.023,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0.006.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0.023, d = 1.00)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 for the 8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eight protocols across DeFi (Compound,</w:t>
      </w:r>
      <w:r>
        <w:t xml:space="preserve"> </w:t>
      </w:r>
      <w:r>
        <w:t xml:space="preserve">Aave, Uniswap), DePIN (DIMO, WeatherXM), infrastructure (Optimism,</w:t>
      </w:r>
      <w:r>
        <w:t xml:space="preserve"> </w:t>
      </w:r>
      <w:r>
        <w:t xml:space="preserve">Arbitrum), and adjacent categories (Lido). Amplification factors range</w:t>
      </w:r>
      <w:r>
        <w:t xml:space="preserve"> </w:t>
      </w:r>
      <w:r>
        <w:t xml:space="preserve">from 1.4x (GMX) to 6.0x (DIMO) across the amplifying protocols; ENS at</w:t>
      </w:r>
      <w:r>
        <w:t xml:space="preserve"> </w:t>
      </w:r>
      <w:r>
        <w:t xml:space="preserve">0.21x is the structural exception (mature delegate program where holders</w:t>
      </w:r>
      <w:r>
        <w:t xml:space="preserve"> </w:t>
      </w:r>
      <w:r>
        <w:t xml:space="preserve">delegate to a broad community-delegate set). The</w:t>
      </w:r>
      <w:r>
        <w:t xml:space="preserve"> </w:t>
      </w:r>
      <w:r>
        <w:t xml:space="preserve">Within the sample, the 1.4x to 6.0x amplification range is distributed</w:t>
      </w:r>
      <w:r>
        <w:t xml:space="preserve"> </w:t>
      </w:r>
      <w:r>
        <w:t xml:space="preserve">across sectors with no clear concentration in any one; sector</w:t>
      </w:r>
      <w:r>
        <w:t xml:space="preserve"> </w:t>
      </w:r>
      <w:r>
        <w:t xml:space="preserve">membership does 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0.023, Cohen’s</w:t>
      </w:r>
      <w:r>
        <w:t xml:space="preserve"> </w:t>
      </w:r>
      <w:r>
        <w:t xml:space="preserve">d = 1.00)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all 8</w:t>
      </w:r>
      <w:r>
        <w:t xml:space="preserve"> </w:t>
      </w:r>
      <w:r>
        <w:t xml:space="preserve">of 8 protocols above the 1.0x ratio threshold, with mean amplification</w:t>
      </w:r>
      <w:r>
        <w:t xml:space="preserve"> </w:t>
      </w:r>
      <w:r>
        <w:t xml:space="preserve">of 4.1x and the smallest amplification (Compound at 1.9x) still</w:t>
      </w:r>
      <w:r>
        <w:t xml:space="preserve"> </w:t>
      </w:r>
      <w:r>
        <w:t xml:space="preserve">representing a near-doubling of voting concentration over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0.023; Cohen’s d = 0.96 to 1.00;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0.023, d = 1.00),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69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four-class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0.023, Cohen’s</w:t>
      </w:r>
      <w:r>
        <w:t xml:space="preserve"> </w:t>
      </w:r>
      <w:r>
        <w:t xml:space="preserve">d = 1.00;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(69 protocol-controlled address</w:t>
      </w:r>
      <w:r>
        <w:t xml:space="preserve"> </w:t>
      </w:r>
      <w:r>
        <w:t xml:space="preserve">exclusions across 20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2026-05-19T03:31:27Z</dcterms:created>
  <dcterms:modified xsi:type="dcterms:W3CDTF">2026-05-19T03:31:27Z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