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0.014,</w:t>
      </w:r>
      <w:r>
        <w:t xml:space="preserve"> </w:t>
      </w:r>
      <w:r>
        <w:t xml:space="preserve">Cohen’s d = 1.03),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6.8x),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0.014,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2.7x (Uniswap), 3.3x (WeatherXM), 3.7x (Optimism), 3.8x</w:t>
      </w:r>
      <w:r>
        <w:t xml:space="preserve"> </w:t>
      </w:r>
      <w:r>
        <w:t xml:space="preserve">(Aave), 4.3x (Arbitrum), 6.0x (DIMO), and 6.8x (Lido).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four-class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 which</w:t>
      </w:r>
      <w:r>
        <w:t xml:space="preserve"> </w:t>
      </w:r>
      <w:r>
        <w:t xml:space="preserve">a designer specifies rules and incentives to induce desired behavior</w:t>
      </w:r>
      <w:r>
        <w:t xml:space="preserve"> </w:t>
      </w:r>
      <w:r>
        <w:t xml:space="preserve">among strategic agents (users, validators, operators, token holders).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69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(69 addresses across 20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four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t xml:space="preserve">Across the four classes, this paper excludes 69 PCA addresses across</w:t>
      </w:r>
      <w:r>
        <w:t xml:space="preserve"> </w:t>
      </w:r>
      <w:r>
        <w:t xml:space="preserve">20 protocols (Supplementary File S6).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four-class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69 protocol-controlled addresses excluded across 20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Lido (0.013)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0.091 vs. 0.041; Mann-Whitney p = 0.014,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0.009.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0.014,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Lido at 0.013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 for the 8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every one</w:t>
      </w:r>
      <w:r>
        <w:t xml:space="preserve"> </w:t>
      </w:r>
      <w:r>
        <w:t xml:space="preserve">of the eight protocols sampled, with amplification ratios ranging from</w:t>
      </w:r>
      <w:r>
        <w:t xml:space="preserve"> </w:t>
      </w:r>
      <w:r>
        <w:t xml:space="preserve">1.9x (Compound) to 6.8x (Lido). No protocol disperses voting power</w:t>
      </w:r>
      <w:r>
        <w:t xml:space="preserve"> </w:t>
      </w:r>
      <w:r>
        <w:t xml:space="preserve">below its post-exclusion holding HHI. The amplification range is widest</w:t>
      </w:r>
      <w:r>
        <w:t xml:space="preserve"> </w:t>
      </w:r>
      <w:r>
        <w:t xml:space="preserve">within DeFi (Compound 1.9x to Lido 6.8x, spanning the full</w:t>
      </w:r>
      <w:r>
        <w:t xml:space="preserve"> </w:t>
      </w:r>
      <w:r>
        <w:t xml:space="preserve">cross-protocol distribution).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DePIN protocols show the highest mean</w:t>
      </w:r>
      <w:r>
        <w:t xml:space="preserve"> </w:t>
      </w:r>
      <w:r>
        <w:t xml:space="preserve">amplification: DIMO’s voting HHI (0.228) is 6.0 times its holding HHI</w:t>
      </w:r>
      <w:r>
        <w:t xml:space="preserve"> </w:t>
      </w:r>
      <w:r>
        <w:t xml:space="preserve">(0.038), though this ratio is based on only 10 Snapshot voters and</w:t>
      </w:r>
      <w:r>
        <w:t xml:space="preserve"> </w:t>
      </w:r>
      <w:r>
        <w:t xml:space="preserve">should be interpreted with caution, and WeatherXM’s (0.486) is 3.3</w:t>
      </w:r>
      <w:r>
        <w:t xml:space="preserve"> </w:t>
      </w:r>
      <w:r>
        <w:t xml:space="preserve">times its holding HHI (0.148). A small number of delegates, likely</w:t>
      </w:r>
      <w:r>
        <w:t xml:space="preserve"> </w:t>
      </w:r>
      <w:r>
        <w:t xml:space="preserve">foundation-affiliated or early-investor wallets, control governance</w:t>
      </w:r>
      <w:r>
        <w:t xml:space="preserve"> </w:t>
      </w:r>
      <w:r>
        <w:t xml:space="preserve">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 and Uniswap (2.7x) at the lower end to Aave (3.8x)</w:t>
      </w:r>
      <w:r>
        <w:t xml:space="preserve"> </w:t>
      </w:r>
      <w:r>
        <w:t xml:space="preserve">and Lido (6.8x)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(4.1x).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6.8x amplification (the highest in the sample) catalyzed a</w:t>
      </w:r>
      <w:r>
        <w:t xml:space="preserve"> </w:t>
      </w:r>
      <w:r>
        <w:t xml:space="preserve">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</w:t>
      </w:r>
      <w:r>
        <w:t xml:space="preserve"> </w:t>
      </w:r>
      <w:r>
        <w:t xml:space="preserve">stETH holders formal veto power over LDO governance proposals, with a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 ultimate accountability</w:t>
      </w:r>
      <w:r>
        <w:t xml:space="preserve"> </w:t>
      </w:r>
      <w:r>
        <w:t xml:space="preserve">lever.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The two protocols with the most ambitious</w:t>
      </w:r>
      <w:r>
        <w:t xml:space="preserve"> </w:t>
      </w:r>
      <w:r>
        <w:t xml:space="preserve">reforms (Optimism, Lido) are also the protocols where token-weighted</w:t>
      </w:r>
      <w:r>
        <w:t xml:space="preserve"> </w:t>
      </w:r>
      <w:r>
        <w:t xml:space="preserve">delegation shows pronounced amplification, consistent with reading</w:t>
      </w:r>
      <w:r>
        <w:t xml:space="preserve"> </w:t>
      </w:r>
      <w:r>
        <w:t xml:space="preserve">these reforms as responses to the universal-amplification pattern that</w:t>
      </w:r>
      <w:r>
        <w:t xml:space="preserve"> </w:t>
      </w:r>
      <w:r>
        <w:t xml:space="preserve">this section 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eight protocols across DeFi (Compound,</w:t>
      </w:r>
      <w:r>
        <w:t xml:space="preserve"> </w:t>
      </w:r>
      <w:r>
        <w:t xml:space="preserve">Aave, Uniswap), DePIN (DIMO, WeatherXM), infrastructure (Optimism,</w:t>
      </w:r>
      <w:r>
        <w:t xml:space="preserve"> </w:t>
      </w:r>
      <w:r>
        <w:t xml:space="preserve">Arbitrum), and adjacent categories (Lido). Amplification factors range</w:t>
      </w:r>
      <w:r>
        <w:t xml:space="preserve"> </w:t>
      </w:r>
      <w:r>
        <w:t xml:space="preserve">from 1.9x (Compound) to 6.8x (Lido) across the sample. Every protocol</w:t>
      </w:r>
      <w:r>
        <w:t xml:space="preserve"> </w:t>
      </w:r>
      <w:r>
        <w:t xml:space="preserve">amplifies; none disperses voting power below holding baselines. The</w:t>
      </w:r>
      <w:r>
        <w:t xml:space="preserve"> </w:t>
      </w:r>
      <w:r>
        <w:t xml:space="preserve">DeFi protocols alone span the full 1.9x-to-6.8x range, so sector</w:t>
      </w:r>
      <w:r>
        <w:t xml:space="preserve"> </w:t>
      </w:r>
      <w:r>
        <w:t xml:space="preserve">membership does 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6.8x);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1.4x-6.8x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0.014,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all 8</w:t>
      </w:r>
      <w:r>
        <w:t xml:space="preserve"> </w:t>
      </w:r>
      <w:r>
        <w:t xml:space="preserve">of 8 protocols above the 1.0x ratio threshold, with mean amplification</w:t>
      </w:r>
      <w:r>
        <w:t xml:space="preserve"> </w:t>
      </w:r>
      <w:r>
        <w:t xml:space="preserve">of 4.1x and the smallest amplification (Compound at 1.9x) still</w:t>
      </w:r>
      <w:r>
        <w:t xml:space="preserve"> </w:t>
      </w:r>
      <w:r>
        <w:t xml:space="preserve">representing a near-doubling of voting concentration over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0.014; Cohen’s d = 0.96 to 1.03;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6.8x;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1.9 times (Compound) to 6.8 times</w:t>
      </w:r>
      <w:r>
        <w:t xml:space="preserve"> </w:t>
      </w:r>
      <w:r>
        <w:t xml:space="preserve">(Lido) across the sample, with every protocol amplifying voting</w:t>
      </w:r>
      <w:r>
        <w:t xml:space="preserve"> </w:t>
      </w:r>
      <w:r>
        <w:t xml:space="preserve">concentration above holding concentration.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0.014,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6.8x; mean 3.8x;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69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four-class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0.014, Cohen’s</w:t>
      </w:r>
      <w:r>
        <w:t xml:space="preserve"> </w:t>
      </w:r>
      <w:r>
        <w:t xml:space="preserve">d = 1.03;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6.8x;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1965)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1965)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(69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(1965). Weighted voting doesn’t work: A</w:t>
      </w:r>
      <w:r>
        <w:t xml:space="preserve"> </w:t>
      </w:r>
      <w:r>
        <w:t xml:space="preserve">mathematical analysis. Rutgers Law Review, 19(2), 317-343.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2026-05-17T22:59:22Z</dcterms:created>
  <dcterms:modified xsi:type="dcterms:W3CDTF">2026-05-17T22:59:22Z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