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b2-r2-responses-master"/>
    <w:p>
      <w:pPr>
        <w:pStyle w:val="Heading1"/>
      </w:pPr>
      <w:r>
        <w:t xml:space="preserve">B2 R2 Responses Master</w:t>
      </w:r>
    </w:p>
    <w:p>
      <w:pPr>
        <w:pStyle w:val="FirstParagraph"/>
      </w:pPr>
      <w:r>
        <w:rPr>
          <w:b/>
          <w:bCs/>
        </w:rPr>
        <w:t xml:space="preserve">Paper:</w:t>
      </w:r>
      <w:r>
        <w:t xml:space="preserve"> </w:t>
      </w:r>
      <w:r>
        <w:t xml:space="preserve">Governance Concentration Beyond Token Allocation: An Institutional Design Analysis of DePIN and DeFi</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w:t>
      </w:r>
      <w:r>
        <w:t xml:space="preserve"> </w:t>
      </w:r>
      <w:r>
        <w:rPr>
          <w:b/>
          <w:bCs/>
        </w:rPr>
        <w:t xml:space="preserve">Round:</w:t>
      </w:r>
      <w:r>
        <w:t xml:space="preserve"> </w:t>
      </w:r>
      <w:r>
        <w:t xml:space="preserve">R2 (response to Reviewer 1 second-round feedback)</w:t>
      </w:r>
      <w:r>
        <w:t xml:space="preserve"> </w:t>
      </w:r>
      <w:r>
        <w:rPr>
          <w:b/>
          <w:bCs/>
        </w:rPr>
        <w:t xml:space="preserve">Date:</w:t>
      </w:r>
      <w:r>
        <w:t xml:space="preserve"> </w:t>
      </w:r>
      <w:r>
        <w:t xml:space="preserve">2026-05-17 (final; Phase 0 data collection complete)</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revisions below address Reviewer 1’s four remaining issues at the level of granularity raised. The R2 cycle treats Reviewer 1’s specific findings as one class (manuscript-vs-data-of-record drift) and resolves them with a comprehensive reproduce-and-sync pass per the reviewer’s general suggestion. Beyond Reviewer 1’s specific issues, the R2 cycle also strengthens the philosophical-methodological framework substantially (Section 2.9.6 inter-lens relationships; Section 2.10.1 two-layer framing; Section 4.5 comparative methodology; 21 new citations across philosophy, mechanism design, voting theory, and institutional economics; falsifiable forward claims; data-availability statement; multiple-comparisons correction note).</w:t>
      </w:r>
    </w:p>
    <w:p>
      <w:pPr>
        <w:pStyle w:val="BodyText"/>
      </w:pPr>
      <w:r>
        <w:t xml:space="preserve">The most consequential single result of the R1 to R2 reproduce-and-sync is a substantive interpretive change in Section 3.5: with corrected holding HHI baselines for Uniswap and Optimism, both protocols flip from delegation-mediated dispersion to delegation amplification. The post-2026-05-17 deep-PCA-audit cycle (commit</w:t>
      </w:r>
      <w:r>
        <w:t xml:space="preserve"> </w:t>
      </w:r>
      <w:r>
        <w:rPr>
          <w:rStyle w:val="VerbatimChar"/>
        </w:rPr>
        <w:t xml:space="preserve">3a8c3065</w:t>
      </w:r>
      <w:r>
        <w:t xml:space="preserve">; 2026-05-19) further expanded Table 7 from N=8 to N=10 (added GMX and ENS via Tally additions per the 12-month governance-activity gate). The R2-2026-05-21 voting-HHI methodology refresh (per EC-2026-05-21-B2-Voting-HHI-Sampling-Methodology-Floor) expanded Snapshot pulls to ALL proposals in the 12-month rolling window 2025-05-22 to 2026-05-22 and Tally pulls to top-1000 delegates per protocol; the refresh surfaced GMX as a 2nd structural-exception counterexample (FLIP from 1.2x amplification at top-100 sample to 0.87x dispersion at top-1000 sample; sampling-depth artifact revealed).</w:t>
      </w:r>
      <w:r>
        <w:t xml:space="preserve"> </w:t>
      </w:r>
      <w:r>
        <w:rPr>
          <w:b/>
          <w:bCs/>
        </w:rPr>
        <w:t xml:space="preserve">The 2026-05-22 multi-source PCA-symmetric extension cycle (commit</w:t>
      </w:r>
      <w:r>
        <w:rPr>
          <w:b/>
          <w:bCs/>
        </w:rPr>
        <w:t xml:space="preserve"> </w:t>
      </w:r>
      <w:r>
        <w:rPr>
          <w:rStyle w:val="VerbatimChar"/>
          <w:b/>
          <w:bCs/>
        </w:rPr>
        <w:t xml:space="preserve">1751fd5c</w:t>
      </w:r>
      <w:r>
        <w:rPr>
          <w:b/>
          <w:bCs/>
        </w:rPr>
        <w:t xml:space="preserve">; Cycle 15 below) further expanded Table 7 from N=10 to N=13 by adding three Solana-native protocols (JUP delegated-vote 0.057x dispersion; HNT VSR lockup-weighted 0.35x-0.53x sensitivity-range dispersion; DRIFT VSR lockup-weighted 1.6x amplification).</w:t>
      </w:r>
      <w:r>
        <w:t xml:space="preserve"> </w:t>
      </w:r>
      <w:r>
        <w:t xml:space="preserve">The R2 manuscript currently documents a</w:t>
      </w:r>
      <w:r>
        <w:t xml:space="preserve"> </w:t>
      </w:r>
      <w:r>
        <w:rPr>
          <w:b/>
          <w:bCs/>
        </w:rPr>
        <w:t xml:space="preserve">predominant-amplification finding with four structural exceptions</w:t>
      </w:r>
      <w:r>
        <w:t xml:space="preserve"> </w:t>
      </w:r>
      <w:r>
        <w:t xml:space="preserve">across nine of thirteen protocols in the Cycle-15 Table 7 sample (amplifier range 1.6x DRIFT to 9.9x Compound; mean approximately 4.9x), with ENS at 0.45x (Section 3.5.1 mature-delegate-program), GMX at 0.87x (Section 3.5.1.1 methodology-sensitive), HNT at 0.35x-0.53x (Section 3.5.4 Solana VSR-lockup-weighted), and JUP at 0.057x (Section 3.5.4 Solana delegated-vote + broad-airdrop-user-base; the most-extreme dispersion outlier in the cross-section, 8x more extreme than ENS) as the four structural exceptions. A robustness check under symmetric PCA-exclusion methodology supports the finding holding across all Tally-sourced protocols even when foundation and aggregation-contract delegates are excluded from voting HHI (Section 3.7), extended in Cycle 15 across three governance-data sources: Tally all-delegates depth (AAVE N=150,911; COMP N=18,627; UNI N=48,707; ARB N=437,453; all four sub-0.005 HHI shift vs cycle-13 top-1000 baseline); Snapshot signer-side functional-PCA exclusion via new sibling canonical store</w:t>
      </w:r>
      <w:r>
        <w:t xml:space="preserve"> </w:t>
      </w:r>
      <w:r>
        <w:rPr>
          <w:rStyle w:val="VerbatimChar"/>
        </w:rPr>
        <w:t xml:space="preserve">exclusions_log_signer.csv</w:t>
      </w:r>
      <w:r>
        <w:t xml:space="preserve"> </w:t>
      </w:r>
      <w:r>
        <w:t xml:space="preserve">(4 confirmed entries: Compound Foundation; Balancer DAO multisig; Kevin Owocki Gitcoin Maintainer; WXM Hedgey-vested insider); and Solana on-chain governance program parsing (JUP via Dune</w:t>
      </w:r>
      <w:r>
        <w:t xml:space="preserve"> </w:t>
      </w:r>
      <w:r>
        <w:rPr>
          <w:rStyle w:val="VerbatimChar"/>
        </w:rPr>
        <w:t xml:space="preserve">jupiter_solana.govern_call_setvote</w:t>
      </w:r>
      <w:r>
        <w:t xml:space="preserve">; HNT and DRIFT via Helius RPC parsing of SPL Governance VoteRecordV2 accounts). Section 3.5.1 documents the ENS case as institutional-design-tractable existence-proof; Section 3.5.1.1 documents the GMX case as methodology-sensitive counterexample; NEW Section 3.5.4 documents the within-Solana governance concentration heterogeneity (VSR-vs-delegated weight design as primary axis); NEW Section 3.5.4.1 documents the Drift Foundation proposal-authorship-vs-vote-weight decoupling pattern (single Foundation submitter authored 11 of 13 DRIFT Improvement Proposals while holding only 0.18 percent of total vote weight); NEW Section 3.5.5 documents the cross-protocol institutional-governance-investor pattern (PGov + Tane Governance + Arana Digital approximately 17 percent combined Snapshot voting power across 6 to 7 DAOs; candidate Fifth Concentration Axis). The four structural-exception cases preserve the dispersion pattern as informative counterexamples rather than refuting the broader predominant-amplification thesis.</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Table 7 has been fully recomputed using post-exclusion holding HHIs consistent with Table 4. The Compound and Arbitrum rows continue to use Snapshot-sourced voting HHIs per the R1 author rationale (larger active-voter pools than Tally’s top-100 sampling); voting HHI source assignments are unchanged from R1. Holding HHIs are now uniformly post-exclusion across Table 7.</w:t>
      </w:r>
    </w:p>
    <w:p>
      <w:pPr>
        <w:pStyle w:val="BodyText"/>
      </w:pPr>
      <w:r>
        <w:rPr>
          <w:b/>
          <w:bCs/>
        </w:rPr>
        <w:t xml:space="preserve">Table 7 before/after (4-cycle cascade through Cycle 15):</w:t>
      </w:r>
    </w:p>
    <w:tbl>
      <w:tblPr>
        <w:tblStyle w:val="Table"/>
        <w:tblW w:type="pct" w:w="5000"/>
        <w:tblLayout w:type="fixed"/>
        <w:tblLook w:firstRow="1" w:lastRow="0" w:firstColumn="0" w:lastColumn="0" w:noHBand="0" w:noVBand="0" w:val="0020"/>
      </w:tblPr>
      <w:tblGrid>
        <w:gridCol w:w="405"/>
        <w:gridCol w:w="294"/>
        <w:gridCol w:w="442"/>
        <w:gridCol w:w="847"/>
        <w:gridCol w:w="1252"/>
        <w:gridCol w:w="1252"/>
        <w:gridCol w:w="442"/>
        <w:gridCol w:w="368"/>
        <w:gridCol w:w="773"/>
        <w:gridCol w:w="773"/>
        <w:gridCol w:w="663"/>
        <w:gridCol w:w="405"/>
      </w:tblGrid>
      <w:tr>
        <w:trPr>
          <w:tblHeader w:val="on"/>
        </w:trPr>
        <w:tc>
          <w:tcPr/>
          <w:p>
            <w:pPr>
              <w:pStyle w:val="Compact"/>
            </w:pPr>
            <w:r>
              <w:t xml:space="preserve">Protocol</w:t>
            </w:r>
          </w:p>
        </w:tc>
        <w:tc>
          <w:tcPr/>
          <w:p>
            <w:pPr>
              <w:pStyle w:val="Compact"/>
            </w:pPr>
            <w:r>
              <w:t xml:space="preserve">Sector</w:t>
            </w:r>
          </w:p>
        </w:tc>
        <w:tc>
          <w:tcPr/>
          <w:p>
            <w:pPr>
              <w:pStyle w:val="Compact"/>
            </w:pPr>
            <w:r>
              <w:t xml:space="preserve">R1 Holding</w:t>
            </w:r>
          </w:p>
        </w:tc>
        <w:tc>
          <w:tcPr/>
          <w:p>
            <w:pPr>
              <w:pStyle w:val="Compact"/>
            </w:pPr>
            <w:r>
              <w:t xml:space="preserve">R2-2026-05-17 Holding</w:t>
            </w:r>
          </w:p>
        </w:tc>
        <w:tc>
          <w:tcPr/>
          <w:p>
            <w:pPr>
              <w:pStyle w:val="Compact"/>
            </w:pPr>
            <w:r>
              <w:t xml:space="preserve">R2-2026-05-21 Holding (cycle-13)</w:t>
            </w:r>
          </w:p>
        </w:tc>
        <w:tc>
          <w:tcPr/>
          <w:p>
            <w:pPr>
              <w:pStyle w:val="Compact"/>
            </w:pPr>
            <w:r>
              <w:t xml:space="preserve">R2-2026-05-22 Holding (Cycle-15)</w:t>
            </w:r>
          </w:p>
        </w:tc>
        <w:tc>
          <w:tcPr/>
          <w:p>
            <w:pPr>
              <w:pStyle w:val="Compact"/>
            </w:pPr>
            <w:r>
              <w:t xml:space="preserve">Voting HHI (current)</w:t>
            </w:r>
          </w:p>
        </w:tc>
        <w:tc>
          <w:tcPr/>
          <w:p>
            <w:pPr>
              <w:pStyle w:val="Compact"/>
            </w:pPr>
            <w:r>
              <w:t xml:space="preserve">R1 Ratio</w:t>
            </w:r>
          </w:p>
        </w:tc>
        <w:tc>
          <w:tcPr/>
          <w:p>
            <w:pPr>
              <w:pStyle w:val="Compact"/>
            </w:pPr>
            <w:r>
              <w:t xml:space="preserve">R2-2026-05-17 Ratio</w:t>
            </w:r>
          </w:p>
        </w:tc>
        <w:tc>
          <w:tcPr/>
          <w:p>
            <w:pPr>
              <w:pStyle w:val="Compact"/>
            </w:pPr>
            <w:r>
              <w:t xml:space="preserve">R2-2026-05-21 Ratio</w:t>
            </w:r>
          </w:p>
        </w:tc>
        <w:tc>
          <w:tcPr/>
          <w:p>
            <w:pPr>
              <w:pStyle w:val="Compact"/>
            </w:pPr>
            <w:r>
              <w:t xml:space="preserve">R2-current 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pPr>
            <w:r>
              <w:t xml:space="preserve">0.038</w:t>
            </w:r>
          </w:p>
        </w:tc>
        <w:tc>
          <w:tcPr/>
          <w:p>
            <w:pPr>
              <w:pStyle w:val="Compact"/>
            </w:pPr>
            <w:r>
              <w:t xml:space="preserve">0.038</w:t>
            </w:r>
          </w:p>
        </w:tc>
        <w:tc>
          <w:tcPr/>
          <w:p>
            <w:pPr>
              <w:pStyle w:val="Compact"/>
            </w:pPr>
            <w:r>
              <w:t xml:space="preserve">0.025</w:t>
            </w:r>
          </w:p>
        </w:tc>
        <w:tc>
          <w:tcPr/>
          <w:p>
            <w:pPr>
              <w:pStyle w:val="Compact"/>
            </w:pPr>
            <w:r>
              <w:t xml:space="preserve">0.025</w:t>
            </w:r>
          </w:p>
        </w:tc>
        <w:tc>
          <w:tcPr/>
          <w:p>
            <w:pPr>
              <w:pStyle w:val="Compact"/>
            </w:pPr>
            <w:r>
              <w:t xml:space="preserve">0.228</w:t>
            </w:r>
          </w:p>
        </w:tc>
        <w:tc>
          <w:tcPr/>
          <w:p>
            <w:pPr>
              <w:pStyle w:val="Compact"/>
            </w:pPr>
            <w:r>
              <w:t xml:space="preserve">6.0x</w:t>
            </w:r>
          </w:p>
        </w:tc>
        <w:tc>
          <w:tcPr/>
          <w:p>
            <w:pPr>
              <w:pStyle w:val="Compact"/>
            </w:pPr>
            <w:r>
              <w:t xml:space="preserve">6.0x</w:t>
            </w:r>
          </w:p>
        </w:tc>
        <w:tc>
          <w:tcPr/>
          <w:p>
            <w:pPr>
              <w:pStyle w:val="Compact"/>
            </w:pPr>
            <w:r>
              <w:t xml:space="preserve">9.1x</w:t>
            </w:r>
          </w:p>
        </w:tc>
        <w:tc>
          <w:tcPr/>
          <w:p>
            <w:pPr>
              <w:pStyle w:val="Compact"/>
            </w:pPr>
            <w:r>
              <w:rPr>
                <w:b/>
                <w:bCs/>
              </w:rP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pPr>
            <w:r>
              <w:t xml:space="preserve">0.018</w:t>
            </w:r>
          </w:p>
        </w:tc>
        <w:tc>
          <w:tcPr/>
          <w:p>
            <w:pPr>
              <w:pStyle w:val="Compact"/>
            </w:pPr>
            <w:r>
              <w:t xml:space="preserve">0.013</w:t>
            </w:r>
          </w:p>
        </w:tc>
        <w:tc>
          <w:tcPr/>
          <w:p>
            <w:pPr>
              <w:pStyle w:val="Compact"/>
            </w:pPr>
            <w:r>
              <w:t xml:space="preserve">0.008</w:t>
            </w:r>
          </w:p>
        </w:tc>
        <w:tc>
          <w:tcPr/>
          <w:p>
            <w:pPr>
              <w:pStyle w:val="Compact"/>
            </w:pPr>
            <w:r>
              <w:t xml:space="preserve">0.008</w:t>
            </w:r>
          </w:p>
        </w:tc>
        <w:tc>
          <w:tcPr/>
          <w:p>
            <w:pPr>
              <w:pStyle w:val="Compact"/>
            </w:pPr>
            <w:r>
              <w:t xml:space="preserve">0.050</w:t>
            </w:r>
          </w:p>
        </w:tc>
        <w:tc>
          <w:tcPr/>
          <w:p>
            <w:pPr>
              <w:pStyle w:val="Compact"/>
            </w:pPr>
            <w:r>
              <w:t xml:space="preserve">4.8x</w:t>
            </w:r>
          </w:p>
        </w:tc>
        <w:tc>
          <w:tcPr/>
          <w:p>
            <w:pPr>
              <w:pStyle w:val="Compact"/>
            </w:pPr>
            <w:r>
              <w:t xml:space="preserve">6.8x</w:t>
            </w:r>
          </w:p>
        </w:tc>
        <w:tc>
          <w:tcPr/>
          <w:p>
            <w:pPr>
              <w:pStyle w:val="Compact"/>
            </w:pPr>
            <w:r>
              <w:t xml:space="preserve">11.4x→6.3x</w:t>
            </w:r>
          </w:p>
        </w:tc>
        <w:tc>
          <w:tcPr/>
          <w:p>
            <w:pPr>
              <w:pStyle w:val="Compact"/>
            </w:pPr>
            <w:r>
              <w:rPr>
                <w:b/>
                <w:bCs/>
              </w:rPr>
              <w:t xml:space="preserve">6.3x</w:t>
            </w:r>
          </w:p>
        </w:tc>
        <w:tc>
          <w:tcPr/>
          <w:p>
            <w:pPr>
              <w:pStyle w:val="Compact"/>
            </w:pPr>
            <w:r>
              <w:t xml:space="preserve">amplifies (cycle-13 refresh shifted from 11.4x to 6.3x at Snapshot N=333)</w:t>
            </w:r>
          </w:p>
        </w:tc>
      </w:tr>
      <w:tr>
        <w:tc>
          <w:tcPr/>
          <w:p>
            <w:pPr>
              <w:pStyle w:val="Compact"/>
            </w:pPr>
            <w:r>
              <w:t xml:space="preserve">WeatherXM</w:t>
            </w:r>
          </w:p>
        </w:tc>
        <w:tc>
          <w:tcPr/>
          <w:p>
            <w:pPr>
              <w:pStyle w:val="Compact"/>
            </w:pPr>
            <w:r>
              <w:t xml:space="preserve">DePIN</w:t>
            </w:r>
          </w:p>
        </w:tc>
        <w:tc>
          <w:tcPr/>
          <w:p>
            <w:pPr>
              <w:pStyle w:val="Compact"/>
            </w:pPr>
            <w:r>
              <w:t xml:space="preserve">0.148</w:t>
            </w:r>
          </w:p>
        </w:tc>
        <w:tc>
          <w:tcPr/>
          <w:p>
            <w:pPr>
              <w:pStyle w:val="Compact"/>
            </w:pPr>
            <w:r>
              <w:t xml:space="preserve">0.148</w:t>
            </w:r>
          </w:p>
        </w:tc>
        <w:tc>
          <w:tcPr/>
          <w:p>
            <w:pPr>
              <w:pStyle w:val="Compact"/>
            </w:pPr>
            <w:r>
              <w:t xml:space="preserve">0.148</w:t>
            </w:r>
          </w:p>
        </w:tc>
        <w:tc>
          <w:tcPr/>
          <w:p>
            <w:pPr>
              <w:pStyle w:val="Compact"/>
            </w:pPr>
            <w:r>
              <w:t xml:space="preserve">0.148</w:t>
            </w:r>
          </w:p>
        </w:tc>
        <w:tc>
          <w:tcPr/>
          <w:p>
            <w:pPr>
              <w:pStyle w:val="Compact"/>
            </w:pPr>
            <w:r>
              <w:t xml:space="preserve">0.556</w:t>
            </w:r>
          </w:p>
        </w:tc>
        <w:tc>
          <w:tcPr/>
          <w:p>
            <w:pPr>
              <w:pStyle w:val="Compact"/>
            </w:pPr>
            <w:r>
              <w:t xml:space="preserve">3.3x</w:t>
            </w:r>
          </w:p>
        </w:tc>
        <w:tc>
          <w:tcPr/>
          <w:p>
            <w:pPr>
              <w:pStyle w:val="Compact"/>
            </w:pPr>
            <w:r>
              <w:t xml:space="preserve">3.3x</w:t>
            </w:r>
          </w:p>
        </w:tc>
        <w:tc>
          <w:tcPr/>
          <w:p>
            <w:pPr>
              <w:pStyle w:val="Compact"/>
            </w:pPr>
            <w:r>
              <w:t xml:space="preserve">3.8x</w:t>
            </w:r>
          </w:p>
        </w:tc>
        <w:tc>
          <w:tcPr/>
          <w:p>
            <w:pPr>
              <w:pStyle w:val="Compact"/>
            </w:pPr>
            <w:r>
              <w:rPr>
                <w:b/>
                <w:bCs/>
              </w:rPr>
              <w:t xml:space="preserve">3.8x</w:t>
            </w:r>
          </w:p>
        </w:tc>
        <w:tc>
          <w:tcPr/>
          <w:p>
            <w:pPr>
              <w:pStyle w:val="Compact"/>
            </w:pPr>
            <w:r>
              <w:t xml:space="preserve">amplifies (cycle-13 refresh: voting 0.486 to 0.556 at Snapshot N=73)</w:t>
            </w:r>
          </w:p>
        </w:tc>
      </w:tr>
      <w:tr>
        <w:tc>
          <w:tcPr/>
          <w:p>
            <w:pPr>
              <w:pStyle w:val="Compact"/>
            </w:pPr>
            <w:r>
              <w:t xml:space="preserve">Compound</w:t>
            </w:r>
          </w:p>
        </w:tc>
        <w:tc>
          <w:tcPr/>
          <w:p>
            <w:pPr>
              <w:pStyle w:val="Compact"/>
            </w:pPr>
            <w:r>
              <w:t xml:space="preserve">DeFi</w:t>
            </w:r>
          </w:p>
        </w:tc>
        <w:tc>
          <w:tcPr/>
          <w:p>
            <w:pPr>
              <w:pStyle w:val="Compact"/>
            </w:pPr>
            <w:r>
              <w:t xml:space="preserve">0.028</w:t>
            </w:r>
          </w:p>
        </w:tc>
        <w:tc>
          <w:tcPr/>
          <w:p>
            <w:pPr>
              <w:pStyle w:val="Compact"/>
            </w:pPr>
            <w:r>
              <w:t xml:space="preserve">0.028</w:t>
            </w:r>
          </w:p>
        </w:tc>
        <w:tc>
          <w:tcPr/>
          <w:p>
            <w:pPr>
              <w:pStyle w:val="Compact"/>
            </w:pPr>
            <w:r>
              <w:t xml:space="preserve">0.009</w:t>
            </w:r>
          </w:p>
        </w:tc>
        <w:tc>
          <w:tcPr/>
          <w:p>
            <w:pPr>
              <w:pStyle w:val="Compact"/>
            </w:pPr>
            <w:r>
              <w:t xml:space="preserve">0.009</w:t>
            </w:r>
          </w:p>
        </w:tc>
        <w:tc>
          <w:tcPr/>
          <w:p>
            <w:pPr>
              <w:pStyle w:val="Compact"/>
            </w:pPr>
            <w:r>
              <w:t xml:space="preserve">0.089</w:t>
            </w:r>
          </w:p>
        </w:tc>
        <w:tc>
          <w:tcPr/>
          <w:p>
            <w:pPr>
              <w:pStyle w:val="Compact"/>
            </w:pPr>
            <w:r>
              <w:t xml:space="preserve">1.9x</w:t>
            </w:r>
          </w:p>
        </w:tc>
        <w:tc>
          <w:tcPr/>
          <w:p>
            <w:pPr>
              <w:pStyle w:val="Compact"/>
            </w:pPr>
            <w:r>
              <w:t xml:space="preserve">1.9x</w:t>
            </w:r>
          </w:p>
        </w:tc>
        <w:tc>
          <w:tcPr/>
          <w:p>
            <w:pPr>
              <w:pStyle w:val="Compact"/>
            </w:pPr>
            <w:r>
              <w:t xml:space="preserve">5.7x→9.9x</w:t>
            </w:r>
          </w:p>
        </w:tc>
        <w:tc>
          <w:tcPr/>
          <w:p>
            <w:pPr>
              <w:pStyle w:val="Compact"/>
            </w:pPr>
            <w:r>
              <w:rPr>
                <w:b/>
                <w:bCs/>
              </w:rPr>
              <w:t xml:space="preserve">9.9x</w:t>
            </w:r>
          </w:p>
        </w:tc>
        <w:tc>
          <w:tcPr/>
          <w:p>
            <w:pPr>
              <w:pStyle w:val="Compact"/>
            </w:pPr>
            <w:r>
              <w:t xml:space="preserve">amplifies (cycle-13 refresh: voting 0.053 to 0.089 at Snapshot N=138)</w:t>
            </w:r>
          </w:p>
        </w:tc>
      </w:tr>
      <w:tr>
        <w:tc>
          <w:tcPr/>
          <w:p>
            <w:pPr>
              <w:pStyle w:val="Compact"/>
            </w:pPr>
            <w:r>
              <w:t xml:space="preserve">Aave</w:t>
            </w:r>
          </w:p>
        </w:tc>
        <w:tc>
          <w:tcPr/>
          <w:p>
            <w:pPr>
              <w:pStyle w:val="Compact"/>
            </w:pPr>
            <w:r>
              <w:t xml:space="preserve">DeFi</w:t>
            </w:r>
          </w:p>
        </w:tc>
        <w:tc>
          <w:tcPr/>
          <w:p>
            <w:pPr>
              <w:pStyle w:val="Compact"/>
            </w:pPr>
            <w:r>
              <w:t xml:space="preserve">0.020</w:t>
            </w:r>
          </w:p>
        </w:tc>
        <w:tc>
          <w:tcPr/>
          <w:p>
            <w:pPr>
              <w:pStyle w:val="Compact"/>
            </w:pPr>
            <w:r>
              <w:t xml:space="preserve">0.020</w:t>
            </w:r>
          </w:p>
        </w:tc>
        <w:tc>
          <w:tcPr/>
          <w:p>
            <w:pPr>
              <w:pStyle w:val="Compact"/>
            </w:pPr>
            <w:r>
              <w:t xml:space="preserve">0.013</w:t>
            </w:r>
          </w:p>
        </w:tc>
        <w:tc>
          <w:tcPr/>
          <w:p>
            <w:pPr>
              <w:pStyle w:val="Compact"/>
            </w:pPr>
            <w:r>
              <w:t xml:space="preserve">0.013</w:t>
            </w:r>
          </w:p>
        </w:tc>
        <w:tc>
          <w:tcPr/>
          <w:p>
            <w:pPr>
              <w:pStyle w:val="Compact"/>
            </w:pPr>
            <w:r>
              <w:t xml:space="preserve">0.058</w:t>
            </w:r>
          </w:p>
        </w:tc>
        <w:tc>
          <w:tcPr/>
          <w:p>
            <w:pPr>
              <w:pStyle w:val="Compact"/>
            </w:pPr>
            <w:r>
              <w:t xml:space="preserve">3.8x</w:t>
            </w:r>
          </w:p>
        </w:tc>
        <w:tc>
          <w:tcPr/>
          <w:p>
            <w:pPr>
              <w:pStyle w:val="Compact"/>
            </w:pPr>
            <w:r>
              <w:t xml:space="preserve">3.8x</w:t>
            </w:r>
          </w:p>
        </w:tc>
        <w:tc>
          <w:tcPr/>
          <w:p>
            <w:pPr>
              <w:pStyle w:val="Compact"/>
            </w:pPr>
            <w:r>
              <w:t xml:space="preserve">5.9x→4.8x</w:t>
            </w:r>
          </w:p>
        </w:tc>
        <w:tc>
          <w:tcPr/>
          <w:p>
            <w:pPr>
              <w:pStyle w:val="Compact"/>
            </w:pPr>
            <w:r>
              <w:rPr>
                <w:b/>
                <w:bCs/>
              </w:rPr>
              <w:t xml:space="preserve">4.4x</w:t>
            </w:r>
          </w:p>
        </w:tc>
        <w:tc>
          <w:tcPr/>
          <w:p>
            <w:pPr>
              <w:pStyle w:val="Compact"/>
            </w:pPr>
            <w:r>
              <w:t xml:space="preserve">amplifies (Cycle-15: voting 0.062 cycle-13 top-1000 to 0.058 all-delegates N=150,911)</w:t>
            </w:r>
          </w:p>
        </w:tc>
      </w:tr>
      <w:tr>
        <w:tc>
          <w:tcPr/>
          <w:p>
            <w:pPr>
              <w:pStyle w:val="Compact"/>
            </w:pPr>
            <w:r>
              <w:t xml:space="preserve">Uniswap</w:t>
            </w:r>
          </w:p>
        </w:tc>
        <w:tc>
          <w:tcPr/>
          <w:p>
            <w:pPr>
              <w:pStyle w:val="Compact"/>
            </w:pPr>
            <w:r>
              <w:t xml:space="preserve">DeFi</w:t>
            </w:r>
          </w:p>
        </w:tc>
        <w:tc>
          <w:tcPr/>
          <w:p>
            <w:pPr>
              <w:pStyle w:val="Compact"/>
            </w:pPr>
            <w:r>
              <w:t xml:space="preserve">0.032</w:t>
            </w:r>
          </w:p>
        </w:tc>
        <w:tc>
          <w:tcPr/>
          <w:p>
            <w:pPr>
              <w:pStyle w:val="Compact"/>
            </w:pPr>
            <w:r>
              <w:t xml:space="preserve">0.010</w:t>
            </w:r>
          </w:p>
        </w:tc>
        <w:tc>
          <w:tcPr/>
          <w:p>
            <w:pPr>
              <w:pStyle w:val="Compact"/>
            </w:pPr>
            <w:r>
              <w:t xml:space="preserve">0.010</w:t>
            </w:r>
          </w:p>
        </w:tc>
        <w:tc>
          <w:tcPr/>
          <w:p>
            <w:pPr>
              <w:pStyle w:val="Compact"/>
            </w:pPr>
            <w:r>
              <w:t xml:space="preserve">0.010</w:t>
            </w:r>
          </w:p>
        </w:tc>
        <w:tc>
          <w:tcPr/>
          <w:p>
            <w:pPr>
              <w:pStyle w:val="Compact"/>
            </w:pPr>
            <w:r>
              <w:t xml:space="preserve">0.027</w:t>
            </w:r>
          </w:p>
        </w:tc>
        <w:tc>
          <w:tcPr/>
          <w:p>
            <w:pPr>
              <w:pStyle w:val="Compact"/>
            </w:pPr>
            <w:r>
              <w:t xml:space="preserve">0.84x</w:t>
            </w:r>
          </w:p>
        </w:tc>
        <w:tc>
          <w:tcPr/>
          <w:p>
            <w:pPr>
              <w:pStyle w:val="Compact"/>
            </w:pPr>
            <w:r>
              <w:t xml:space="preserve">2.7x</w:t>
            </w:r>
          </w:p>
        </w:tc>
        <w:tc>
          <w:tcPr/>
          <w:p>
            <w:pPr>
              <w:pStyle w:val="Compact"/>
            </w:pPr>
            <w:r>
              <w:t xml:space="preserve">2.7x</w:t>
            </w:r>
          </w:p>
        </w:tc>
        <w:tc>
          <w:tcPr/>
          <w:p>
            <w:pPr>
              <w:pStyle w:val="Compact"/>
            </w:pPr>
            <w:r>
              <w:rPr>
                <w:b/>
                <w:bCs/>
              </w:rPr>
              <w:t xml:space="preserve">2.7x</w:t>
            </w:r>
          </w:p>
        </w:tc>
        <w:tc>
          <w:tcPr/>
          <w:p>
            <w:pPr>
              <w:pStyle w:val="Compact"/>
            </w:pPr>
            <w:r>
              <w:t xml:space="preserve">amplifies (FLIP at R2-2026-05-17)</w:t>
            </w:r>
          </w:p>
        </w:tc>
      </w:tr>
      <w:tr>
        <w:tc>
          <w:tcPr/>
          <w:p>
            <w:pPr>
              <w:pStyle w:val="Compact"/>
            </w:pPr>
            <w:r>
              <w:t xml:space="preserve">Arbitrum</w:t>
            </w:r>
          </w:p>
        </w:tc>
        <w:tc>
          <w:tcPr/>
          <w:p>
            <w:pPr>
              <w:pStyle w:val="Compact"/>
            </w:pPr>
            <w:r>
              <w:t xml:space="preserve">Infra</w:t>
            </w:r>
          </w:p>
        </w:tc>
        <w:tc>
          <w:tcPr/>
          <w:p>
            <w:pPr>
              <w:pStyle w:val="Compact"/>
            </w:pPr>
            <w:r>
              <w:t xml:space="preserve">0.012</w:t>
            </w:r>
          </w:p>
        </w:tc>
        <w:tc>
          <w:tcPr/>
          <w:p>
            <w:pPr>
              <w:pStyle w:val="Compact"/>
            </w:pPr>
            <w:r>
              <w:t xml:space="preserve">0.012</w:t>
            </w:r>
          </w:p>
        </w:tc>
        <w:tc>
          <w:tcPr/>
          <w:p>
            <w:pPr>
              <w:pStyle w:val="Compact"/>
            </w:pPr>
            <w:r>
              <w:t xml:space="preserve">0.012</w:t>
            </w:r>
          </w:p>
        </w:tc>
        <w:tc>
          <w:tcPr/>
          <w:p>
            <w:pPr>
              <w:pStyle w:val="Compact"/>
            </w:pPr>
            <w:r>
              <w:t xml:space="preserve">0.012</w:t>
            </w:r>
          </w:p>
        </w:tc>
        <w:tc>
          <w:tcPr/>
          <w:p>
            <w:pPr>
              <w:pStyle w:val="Compact"/>
            </w:pPr>
            <w:r>
              <w:t xml:space="preserve">0.038</w:t>
            </w:r>
          </w:p>
        </w:tc>
        <w:tc>
          <w:tcPr/>
          <w:p>
            <w:pPr>
              <w:pStyle w:val="Compact"/>
            </w:pPr>
            <w:r>
              <w:t xml:space="preserve">4.3x</w:t>
            </w:r>
          </w:p>
        </w:tc>
        <w:tc>
          <w:tcPr/>
          <w:p>
            <w:pPr>
              <w:pStyle w:val="Compact"/>
            </w:pPr>
            <w:r>
              <w:t xml:space="preserve">4.3x</w:t>
            </w:r>
          </w:p>
        </w:tc>
        <w:tc>
          <w:tcPr/>
          <w:p>
            <w:pPr>
              <w:pStyle w:val="Compact"/>
            </w:pPr>
            <w:r>
              <w:t xml:space="preserve">4.4x→3.1x</w:t>
            </w:r>
          </w:p>
        </w:tc>
        <w:tc>
          <w:tcPr/>
          <w:p>
            <w:pPr>
              <w:pStyle w:val="Compact"/>
            </w:pPr>
            <w:r>
              <w:rPr>
                <w:b/>
                <w:bCs/>
              </w:rPr>
              <w:t xml:space="preserve">3.1x</w:t>
            </w:r>
          </w:p>
        </w:tc>
        <w:tc>
          <w:tcPr/>
          <w:p>
            <w:pPr>
              <w:pStyle w:val="Compact"/>
            </w:pPr>
            <w:r>
              <w:t xml:space="preserve">amplifies (cycle-13 refresh: voting 0.052 to 0.038 at Snapshot N=5,466)</w:t>
            </w:r>
          </w:p>
        </w:tc>
      </w:tr>
      <w:tr>
        <w:tc>
          <w:tcPr/>
          <w:p>
            <w:pPr>
              <w:pStyle w:val="Compact"/>
            </w:pPr>
            <w:r>
              <w:t xml:space="preserve">Optimism</w:t>
            </w:r>
          </w:p>
        </w:tc>
        <w:tc>
          <w:tcPr/>
          <w:p>
            <w:pPr>
              <w:pStyle w:val="Compact"/>
            </w:pPr>
            <w:r>
              <w:t xml:space="preserve">Infra</w:t>
            </w:r>
          </w:p>
        </w:tc>
        <w:tc>
          <w:tcPr/>
          <w:p>
            <w:pPr>
              <w:pStyle w:val="Compact"/>
            </w:pPr>
            <w:r>
              <w:t xml:space="preserve">0.042</w:t>
            </w:r>
          </w:p>
        </w:tc>
        <w:tc>
          <w:tcPr/>
          <w:p>
            <w:pPr>
              <w:pStyle w:val="Compact"/>
            </w:pPr>
            <w:r>
              <w:t xml:space="preserve">0.009</w:t>
            </w:r>
          </w:p>
        </w:tc>
        <w:tc>
          <w:tcPr/>
          <w:p>
            <w:pPr>
              <w:pStyle w:val="Compact"/>
            </w:pPr>
            <w:r>
              <w:t xml:space="preserve">0.009</w:t>
            </w:r>
          </w:p>
        </w:tc>
        <w:tc>
          <w:tcPr/>
          <w:p>
            <w:pPr>
              <w:pStyle w:val="Compact"/>
            </w:pPr>
            <w:r>
              <w:t xml:space="preserve">0.009</w:t>
            </w:r>
          </w:p>
        </w:tc>
        <w:tc>
          <w:tcPr/>
          <w:p>
            <w:pPr>
              <w:pStyle w:val="Compact"/>
            </w:pPr>
            <w:r>
              <w:t xml:space="preserve">0.033</w:t>
            </w:r>
          </w:p>
        </w:tc>
        <w:tc>
          <w:tcPr/>
          <w:p>
            <w:pPr>
              <w:pStyle w:val="Compact"/>
            </w:pPr>
            <w:r>
              <w:t xml:space="preserve">0.79x</w:t>
            </w:r>
          </w:p>
        </w:tc>
        <w:tc>
          <w:tcPr/>
          <w:p>
            <w:pPr>
              <w:pStyle w:val="Compact"/>
            </w:pPr>
            <w:r>
              <w:t xml:space="preserve">3.7x</w:t>
            </w:r>
          </w:p>
        </w:tc>
        <w:tc>
          <w:tcPr/>
          <w:p>
            <w:pPr>
              <w:pStyle w:val="Compact"/>
            </w:pPr>
            <w:r>
              <w:t xml:space="preserve">3.6x</w:t>
            </w:r>
          </w:p>
        </w:tc>
        <w:tc>
          <w:tcPr/>
          <w:p>
            <w:pPr>
              <w:pStyle w:val="Compact"/>
            </w:pPr>
            <w:r>
              <w:rPr>
                <w:b/>
                <w:bCs/>
              </w:rPr>
              <w:t xml:space="preserve">3.6x</w:t>
            </w:r>
          </w:p>
        </w:tc>
        <w:tc>
          <w:tcPr/>
          <w:p>
            <w:pPr>
              <w:pStyle w:val="Compact"/>
            </w:pPr>
            <w:r>
              <w:t xml:space="preserve">amplifies (FLIP at R2-2026-05-17)</w:t>
            </w:r>
          </w:p>
        </w:tc>
      </w:tr>
      <w:tr>
        <w:tc>
          <w:tcPr/>
          <w:p>
            <w:pPr>
              <w:pStyle w:val="Compact"/>
            </w:pPr>
            <w:r>
              <w:t xml:space="preserve">GMX</w:t>
            </w:r>
          </w:p>
        </w:tc>
        <w:tc>
          <w:tcPr/>
          <w:p>
            <w:pPr>
              <w:pStyle w:val="Compact"/>
            </w:pPr>
            <w:r>
              <w:t xml:space="preserve">DeFi</w:t>
            </w:r>
          </w:p>
        </w:tc>
        <w:tc>
          <w:tcPr/>
          <w:p>
            <w:pPr>
              <w:pStyle w:val="Compact"/>
            </w:pPr>
            <w:r>
              <w:t xml:space="preserve">n/a</w:t>
            </w:r>
          </w:p>
        </w:tc>
        <w:tc>
          <w:tcPr/>
          <w:p>
            <w:pPr>
              <w:pStyle w:val="Compact"/>
            </w:pPr>
            <w:r>
              <w:t xml:space="preserve">n/a</w:t>
            </w:r>
          </w:p>
        </w:tc>
        <w:tc>
          <w:tcPr/>
          <w:p>
            <w:pPr>
              <w:pStyle w:val="Compact"/>
            </w:pPr>
            <w:r>
              <w:t xml:space="preserve">0.065 (Tally May 2026)</w:t>
            </w:r>
          </w:p>
        </w:tc>
        <w:tc>
          <w:tcPr/>
          <w:p>
            <w:pPr>
              <w:pStyle w:val="Compact"/>
            </w:pPr>
            <w:r>
              <w:t xml:space="preserve">0.065</w:t>
            </w:r>
          </w:p>
        </w:tc>
        <w:tc>
          <w:tcPr/>
          <w:p>
            <w:pPr>
              <w:pStyle w:val="Compact"/>
            </w:pPr>
            <w:r>
              <w:t xml:space="preserve">0.057</w:t>
            </w:r>
          </w:p>
        </w:tc>
        <w:tc>
          <w:tcPr/>
          <w:p>
            <w:pPr>
              <w:pStyle w:val="Compact"/>
            </w:pPr>
            <w:r>
              <w:t xml:space="preserve">n/a</w:t>
            </w:r>
          </w:p>
        </w:tc>
        <w:tc>
          <w:tcPr/>
          <w:p>
            <w:pPr>
              <w:pStyle w:val="Compact"/>
            </w:pPr>
            <w:r>
              <w:t xml:space="preserve">n/a</w:t>
            </w:r>
          </w:p>
        </w:tc>
        <w:tc>
          <w:tcPr/>
          <w:p>
            <w:pPr>
              <w:pStyle w:val="Compact"/>
            </w:pPr>
            <w:r>
              <w:t xml:space="preserve">0.87x (FLIP)</w:t>
            </w:r>
          </w:p>
        </w:tc>
        <w:tc>
          <w:tcPr/>
          <w:p>
            <w:pPr>
              <w:pStyle w:val="Compact"/>
            </w:pPr>
            <w:r>
              <w:rPr>
                <w:b/>
                <w:bCs/>
              </w:rPr>
              <w:t xml:space="preserve">0.87x</w:t>
            </w:r>
          </w:p>
        </w:tc>
        <w:tc>
          <w:tcPr/>
          <w:p>
            <w:pPr>
              <w:pStyle w:val="Compact"/>
            </w:pPr>
            <w:r>
              <w:t xml:space="preserve">DISPERSES (cycle-13 refresh; sampling-depth artifact revealed)</w:t>
            </w:r>
          </w:p>
        </w:tc>
      </w:tr>
      <w:tr>
        <w:tc>
          <w:tcPr/>
          <w:p>
            <w:pPr>
              <w:pStyle w:val="Compact"/>
            </w:pPr>
            <w:r>
              <w:t xml:space="preserve">ENS</w:t>
            </w:r>
          </w:p>
        </w:tc>
        <w:tc>
          <w:tcPr/>
          <w:p>
            <w:pPr>
              <w:pStyle w:val="Compact"/>
            </w:pPr>
            <w:r>
              <w:t xml:space="preserve">Infra</w:t>
            </w:r>
          </w:p>
        </w:tc>
        <w:tc>
          <w:tcPr/>
          <w:p>
            <w:pPr>
              <w:pStyle w:val="Compact"/>
            </w:pPr>
            <w:r>
              <w:t xml:space="preserve">n/a</w:t>
            </w:r>
          </w:p>
        </w:tc>
        <w:tc>
          <w:tcPr/>
          <w:p>
            <w:pPr>
              <w:pStyle w:val="Compact"/>
            </w:pPr>
            <w:r>
              <w:t xml:space="preserve">n/a</w:t>
            </w:r>
          </w:p>
        </w:tc>
        <w:tc>
          <w:tcPr/>
          <w:p>
            <w:pPr>
              <w:pStyle w:val="Compact"/>
            </w:pPr>
            <w:r>
              <w:t xml:space="preserve">0.049 (post-a6d684c3 Cold Wallet PCA)</w:t>
            </w:r>
          </w:p>
        </w:tc>
        <w:tc>
          <w:tcPr/>
          <w:p>
            <w:pPr>
              <w:pStyle w:val="Compact"/>
            </w:pPr>
            <w:r>
              <w:t xml:space="preserve">0.049</w:t>
            </w:r>
          </w:p>
        </w:tc>
        <w:tc>
          <w:tcPr/>
          <w:p>
            <w:pPr>
              <w:pStyle w:val="Compact"/>
            </w:pPr>
            <w:r>
              <w:t xml:space="preserve">0.022</w:t>
            </w:r>
          </w:p>
        </w:tc>
        <w:tc>
          <w:tcPr/>
          <w:p>
            <w:pPr>
              <w:pStyle w:val="Compact"/>
            </w:pPr>
            <w:r>
              <w:t xml:space="preserve">n/a</w:t>
            </w:r>
          </w:p>
        </w:tc>
        <w:tc>
          <w:tcPr/>
          <w:p>
            <w:pPr>
              <w:pStyle w:val="Compact"/>
            </w:pPr>
            <w:r>
              <w:t xml:space="preserve">n/a</w:t>
            </w:r>
          </w:p>
        </w:tc>
        <w:tc>
          <w:tcPr/>
          <w:p>
            <w:pPr>
              <w:pStyle w:val="Compact"/>
            </w:pPr>
            <w:r>
              <w:t xml:space="preserve">0.45x</w:t>
            </w:r>
          </w:p>
        </w:tc>
        <w:tc>
          <w:tcPr/>
          <w:p>
            <w:pPr>
              <w:pStyle w:val="Compact"/>
            </w:pPr>
            <w:r>
              <w:rPr>
                <w:b/>
                <w:bCs/>
              </w:rPr>
              <w:t xml:space="preserve">0.45x</w:t>
            </w:r>
          </w:p>
        </w:tc>
        <w:tc>
          <w:tcPr/>
          <w:p>
            <w:pPr>
              <w:pStyle w:val="Compact"/>
            </w:pPr>
            <w:r>
              <w:t xml:space="preserve">disperses (mature-delegate-program counterexample)</w:t>
            </w:r>
          </w:p>
        </w:tc>
      </w:tr>
      <w:tr>
        <w:tc>
          <w:tcPr/>
          <w:p>
            <w:pPr>
              <w:pStyle w:val="Compact"/>
            </w:pPr>
            <w:r>
              <w:rPr>
                <w:b/>
                <w:bCs/>
              </w:rPr>
              <w:t xml:space="preserve">JUP</w:t>
            </w:r>
          </w:p>
        </w:tc>
        <w:tc>
          <w:tcPr/>
          <w:p>
            <w:pPr>
              <w:pStyle w:val="Compact"/>
            </w:pPr>
            <w:r>
              <w:rPr>
                <w:b/>
                <w:bCs/>
              </w:rPr>
              <w:t xml:space="preserve">DeFi</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0.096 (Cycle-15 Solana addition; Helius DAS API)</w:t>
            </w:r>
          </w:p>
        </w:tc>
        <w:tc>
          <w:tcPr/>
          <w:p>
            <w:pPr>
              <w:pStyle w:val="Compact"/>
            </w:pPr>
            <w:r>
              <w:rPr>
                <w:b/>
                <w:bCs/>
              </w:rPr>
              <w:t xml:space="preserve">0.0055 (Solana delegated-vote per</w:t>
            </w:r>
            <w:r>
              <w:rPr>
                <w:b/>
                <w:bCs/>
              </w:rPr>
              <w:t xml:space="preserve"> </w:t>
            </w:r>
            <w:r>
              <w:rPr>
                <w:rStyle w:val="VerbatimChar"/>
                <w:b/>
                <w:bCs/>
              </w:rPr>
              <w:t xml:space="preserve">jupiter_solana.govern_call_setvote</w:t>
            </w:r>
            <w:r>
              <w:rPr>
                <w:b/>
                <w:bCs/>
              </w:rPr>
              <w:t xml:space="preserve">)</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0.057x</w:t>
            </w:r>
          </w:p>
        </w:tc>
        <w:tc>
          <w:tcPr/>
          <w:p>
            <w:pPr>
              <w:pStyle w:val="Compact"/>
            </w:pPr>
            <w:r>
              <w:rPr>
                <w:b/>
                <w:bCs/>
              </w:rPr>
              <w:t xml:space="preserve">DISPERSES (most-extreme dispersion outlier in cross-section; 8x more extreme than ENS; Section 3.5.4)</w:t>
            </w:r>
          </w:p>
        </w:tc>
      </w:tr>
      <w:tr>
        <w:tc>
          <w:tcPr/>
          <w:p>
            <w:pPr>
              <w:pStyle w:val="Compact"/>
            </w:pPr>
            <w:r>
              <w:rPr>
                <w:b/>
                <w:bCs/>
              </w:rPr>
              <w:t xml:space="preserve">HNT</w:t>
            </w:r>
          </w:p>
        </w:tc>
        <w:tc>
          <w:tcPr/>
          <w:p>
            <w:pPr>
              <w:pStyle w:val="Compact"/>
            </w:pPr>
            <w:r>
              <w:rPr>
                <w:b/>
                <w:bCs/>
              </w:rPr>
              <w:t xml:space="preserve">DePIN</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0.075 (Cycle-15 Solana addition)</w:t>
            </w:r>
          </w:p>
        </w:tc>
        <w:tc>
          <w:tcPr/>
          <w:p>
            <w:pPr>
              <w:pStyle w:val="Compact"/>
            </w:pPr>
            <w:r>
              <w:rPr>
                <w:b/>
                <w:bCs/>
              </w:rPr>
              <w:t xml:space="preserve">0.026-0.039 (VSR lockup-weight via Helius RPC; 14.8% closed-position sensitivity range)</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0.35x-0.53x</w:t>
            </w:r>
          </w:p>
        </w:tc>
        <w:tc>
          <w:tcPr/>
          <w:p>
            <w:pPr>
              <w:pStyle w:val="Compact"/>
            </w:pPr>
            <w:r>
              <w:rPr>
                <w:b/>
                <w:bCs/>
              </w:rPr>
              <w:t xml:space="preserve">DISPERSES (Solana VSR-lockup-weighted; Section 3.5.4)</w:t>
            </w:r>
          </w:p>
        </w:tc>
      </w:tr>
      <w:tr>
        <w:tc>
          <w:tcPr/>
          <w:p>
            <w:pPr>
              <w:pStyle w:val="Compact"/>
            </w:pPr>
            <w:r>
              <w:rPr>
                <w:b/>
                <w:bCs/>
              </w:rPr>
              <w:t xml:space="preserve">DRIFT</w:t>
            </w:r>
          </w:p>
        </w:tc>
        <w:tc>
          <w:tcPr/>
          <w:p>
            <w:pPr>
              <w:pStyle w:val="Compact"/>
            </w:pPr>
            <w:r>
              <w:rPr>
                <w:b/>
                <w:bCs/>
              </w:rPr>
              <w:t xml:space="preserve">DeFi</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0.053 (Cycle-15 Solana addition)</w:t>
            </w:r>
          </w:p>
        </w:tc>
        <w:tc>
          <w:tcPr/>
          <w:p>
            <w:pPr>
              <w:pStyle w:val="Compact"/>
            </w:pPr>
            <w:r>
              <w:rPr>
                <w:b/>
                <w:bCs/>
              </w:rPr>
              <w:t xml:space="preserve">0.083 (VSR-weighted via Helius RPC VoteRecordV2 parsing)</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1.6x</w:t>
            </w:r>
          </w:p>
        </w:tc>
        <w:tc>
          <w:tcPr/>
          <w:p>
            <w:pPr>
              <w:pStyle w:val="Compact"/>
            </w:pPr>
            <w:r>
              <w:rPr>
                <w:b/>
                <w:bCs/>
              </w:rPr>
              <w:t xml:space="preserve">amplifies (NEW lowest amplifier; Solana VSR-lockup-weighted; Section 3.5.4)</w:t>
            </w:r>
          </w:p>
        </w:tc>
      </w:tr>
    </w:tbl>
    <w:p>
      <w:pPr>
        <w:pStyle w:val="BodyText"/>
      </w:pPr>
      <w:r>
        <w:t xml:space="preserve">Note: Tally rows refreshed at cycle 13 to top-1000 delegate samples (Aave further refreshed at Cycle 15 to all-delegates N=150,911); voting HHIs and ratios reflect post-refresh values. Snapshot rows refreshed at cycle 13 to all-proposals-in-12-month-rolling-window methodology; per-protocol voting-HHI shifts documented in EC-2026-05-21-B2-Voting-HHI-Sampling-Methodology-Floor. Solana rows added in Cycle 15 (commit</w:t>
      </w:r>
      <w:r>
        <w:t xml:space="preserve"> </w:t>
      </w:r>
      <w:r>
        <w:rPr>
          <w:rStyle w:val="VerbatimChar"/>
        </w:rPr>
        <w:t xml:space="preserve">1751fd5c</w:t>
      </w:r>
      <w:r>
        <w:t xml:space="preserve">) via on-chain governance program parsing (JUP via Dune decoded namespace; HNT and DRIFT via Helius RPC SPL Governance VoteRecordV2 accounts). The Aethir Table 4 row was also updated in Cycle 15 Pass 6 audit from HHI 0.0868 to 0.0948 reflecting the post-cycle-4 0xfc78 Safe multisig exclusion that the caption already documented; Table 4 row data now consistent with caption + canonical replication CSV.</w:t>
      </w:r>
    </w:p>
    <w:p>
      <w:pPr>
        <w:pStyle w:val="BodyText"/>
      </w:pPr>
      <w:r>
        <w:rPr>
          <w:b/>
          <w:bCs/>
        </w:rPr>
        <w:t xml:space="preserve">Substantive interpretive consequence.</w:t>
      </w:r>
      <w:r>
        <w:t xml:space="preserve"> </w:t>
      </w:r>
      <w:r>
        <w:t xml:space="preserve">The flip is not a typo fix: it changes the Section 3.5 finding from</w:t>
      </w:r>
      <w:r>
        <w:t xml:space="preserve"> </w:t>
      </w:r>
      <w:r>
        <w:t xml:space="preserve">“delegation amplifies unevenly, with two infrastructure protocols showing opposite patterns”</w:t>
      </w:r>
      <w:r>
        <w:t xml:space="preserve"> </w:t>
      </w:r>
      <w:r>
        <w:t xml:space="preserve">(the R1-era framing) to</w:t>
      </w:r>
      <w:r>
        <w:t xml:space="preserve"> </w:t>
      </w:r>
      <w:r>
        <w:t xml:space="preserve">“delegation amplifies governance concentration in nine of ten protocols sampled, with one structural exception (ENS at 0.57x dispersion) and with magnitude varying by institutional design within sector”</w:t>
      </w:r>
      <w:r>
        <w:t xml:space="preserve"> </w:t>
      </w:r>
      <w:r>
        <w:t xml:space="preserve">(the R2-current near-universal-amplification framing, post deep-PCA-audit cycle 2026-05-19 sample expansion). The R2-2026-05-17 framing (</w:t>
      </w:r>
      <w:r>
        <w:t xml:space="preserve">“universal-amplification across all eight protocols”</w:t>
      </w:r>
      <w:r>
        <w:t xml:space="preserve">) was an intermediate-state framing valid at this letter’s authoring date; the post-2026-05-17 deep-PCA-audit expanded the sample to N=10 and surfaced the ENS structural counterexample, reframing the thesis to near-universal. We have rewritten Section 3.5 (opening paragraph, DeFi paragraph, Optimism/Arbitrum paragraph, Citizens’ House/Dual Governance paragraph, Fritsch et al. extension paragraph), Section 3.5.1 ENS counterexample subsection (added in deep-PCA-audit cycle), Section 3.5.2 ve-token class subsection, abstract finding 4, Section 1.4 finding 4, and the Section 4.1 design-hypotheses synthesis to reflect the near-universal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The R1-corrected Lido holding HHI (Table 4 value 0.013 at this letter’s authoring date) yielded an amplification ratio of 6.8x. The R2-2026-05-17 Table 7 reported 6.8x. The post-2026-05-17 deep-PCA-audit cycle (commit</w:t>
      </w:r>
      <w:r>
        <w:t xml:space="preserve"> </w:t>
      </w:r>
      <w:r>
        <w:rPr>
          <w:rStyle w:val="VerbatimChar"/>
        </w:rPr>
        <w:t xml:space="preserve">3a8c3065</w:t>
      </w:r>
      <w:r>
        <w:t xml:space="preserve">; 2026-05-19) further refined Lido holding HHI to 0.008 (per PCA exclusion of additional Lido DAO addresses identified in the 126-address audit). The cycle-13 voting-HHI methodology refresh (commit</w:t>
      </w:r>
      <w:r>
        <w:t xml:space="preserve"> </w:t>
      </w:r>
      <w:r>
        <w:rPr>
          <w:rStyle w:val="VerbatimChar"/>
        </w:rPr>
        <w:t xml:space="preserve">99036422</w:t>
      </w:r>
      <w:r>
        <w:t xml:space="preserve">; 2026-05-21) expanded the Lido Snapshot pull from sample-bounded (N=262 across 5 proposals) to comprehensive (N=333 across all proposals in the 12-month rolling window), yielding voting HHI 0.050 and amplification ratio 6.3x. The R2-2026-05-17 6.8x and the post-deep-PCA-audit 11.4x are preserved as audit-trail in the F-B2-9 cascade chain documented in</w:t>
      </w:r>
      <w:r>
        <w:t xml:space="preserve"> </w:t>
      </w:r>
      <w:r>
        <w:rPr>
          <w:rStyle w:val="VerbatimChar"/>
        </w:rPr>
        <w:t xml:space="preserve">docs/KEY_FINDINGS.md</w:t>
      </w:r>
      <w:r>
        <w:t xml:space="preserve">; the R2-current 6.3x at cycle-13 sampling depth supersedes per EC-2026-05-21-B2-Voting-HHI-Sampling-Methodology-Floor. The prior 6.8x figure is preserved as audit-trail in the F-B2-9 cascade chain documented in</w:t>
      </w:r>
      <w:r>
        <w:t xml:space="preserve"> </w:t>
      </w:r>
      <w:r>
        <w:rPr>
          <w:rStyle w:val="VerbatimChar"/>
        </w:rPr>
        <w:t xml:space="preserve">docs/KEY_FINDINGS.md</w:t>
      </w:r>
      <w:r>
        <w:t xml:space="preserve">. If the reviewer is computing a different Lido holding HHI from an alternative exclusion list (for example, one that does not exclude the Lido DAO Aragon treasury), we would welcome specification of the methodology; the canonical exclusion set we apply is documented in Supplementary File S6.</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burn address exclusion applied (the canonical 0x000…000dead holding 102.5M UNI, 11.3 percent of supply, structurally unable to participate in governance), Uniswap joins the universal-amplification pattern at 2.7x. We document this transition explicitly in Section 3.5 because the prior result was load-bearing in the dispersion-via-mature-delegate-program literature; the corrected analysis indicates the prior result was driven by including a wallet that structurally cannot vote in the holding denominator.</w:t>
      </w:r>
    </w:p>
    <w:p>
      <w:pPr>
        <w:pStyle w:val="BodyText"/>
      </w:pPr>
      <w:r>
        <w:rPr>
          <w:b/>
          <w:bCs/>
        </w:rPr>
        <w:t xml:space="preserve">Compound Foundation as PCA at the voting layer.</w:t>
      </w:r>
      <w:r>
        <w:t xml:space="preserve"> </w:t>
      </w:r>
      <w:r>
        <w:t xml:space="preserve">Phase 0 fact-checking of the Tally API surfaced a substantive methodological finding: the top COMP Tally delegate (21.5% of total delegated voting power in the May 2026 pull) is Compound Foundation itself, structurally a protocol-controlled entity. Applying PCA exclusion symmetrically at the voting layer (consistent with the holding-side methodology) drops Compound’s voting HHI from 0.078 to 0.052 and the amplification ratio from 1.89x to 1.85x. The R1 Snapshot-based COMP voting HHI value (0.053) is essentially equivalent to the PCA-excluded Tally value (0.052); the R1 methodology choice already approximated the PCA-exclusion outcome. We document this analysis as a Section 3.7 PCA-symmetric robustness paragraph showing universal amplification holds across all 5 Tally-sourced protocols (Compound 1.85x, Aave 2.26x, Uniswap 2.72x, Optimism 4.06x, Arbitrum 3.01x) even under symmetric PCA exclusion.</w:t>
      </w:r>
    </w:p>
    <w:p>
      <w:pPr>
        <w:pStyle w:val="BodyText"/>
      </w:pPr>
      <w:r>
        <w:rPr>
          <w:b/>
          <w:bCs/>
        </w:rPr>
        <w:t xml:space="preserve">Manuscript changes</w:t>
      </w:r>
      <w:r>
        <w:t xml:space="preserve">: Table 7 rows updated (UNI, OP, LDO holdings + ratios); Table 7 caption updated with explicit post-exclusion methodology note; Section 3.5 paragraphs 1-5 rewritten; abstract finding 4 rewritten; Section 1.4 finding 4 rewritten; Section 3.7 PCA-symmetric robustness paragraph added; Section 2.10.3 Tally data drift methodology note added (documents the March 2026 to May 2026 delegate-pool drift; the R2 manuscript uses the March 2026 snapshot consistent with the rest of the dataset, with May 2026 results reported as supplementary robustness check); Figure 6 regeneration pending Phase 4 figure-regeneration cycle.</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has been corrected from 60.7% (pre-Convex-exclusion) to 34.4% (post-Convex-exclusion, matching the regression dataset). The CRV-vs-veCRV disambiguation has been implemented across all four textual surfaces, with the 0.171 proxy replaced by a directly-computed veCRV voting concentration value (0.26) per Phase 0 Tier C1 analysis below.</w:t>
      </w:r>
    </w:p>
    <w:p>
      <w:pPr>
        <w:pStyle w:val="BodyText"/>
      </w:pPr>
      <w:r>
        <w:rPr>
          <w:b/>
          <w:bCs/>
        </w:rPr>
        <w:t xml:space="preserve">Direct veCRV voting concentration computation (Phase 0 Tier C1).</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For R2 we compute the actual veCRV-weighted voting concentration directly via Dune analysis of the Curve VotingEscrow Deposit events at 0x5f3b5dfeb7b28cdbd7faba78963ee202a494e2a2. Aggregating cumulative CRV deposits across the top-50 historical veCRV lockers yields HHI = 0.26 (Convex CRV Locker: 48.0% of top-50 deposit-weighted share; Yearn yveCRV: 13.5%; Stake DAO sdCRV: 9.5%; the remaining 47 lockers each less than 4%). The 0.26 direct computation captures the actual gauge-weight voting concentration that veCRV produces and is substantively higher than the 0.171 proxy.</w:t>
      </w:r>
    </w:p>
    <w:p>
      <w:pPr>
        <w:pStyle w:val="BodyText"/>
      </w:pPr>
      <w:r>
        <w:rPr>
          <w:b/>
          <w:bCs/>
        </w:rPr>
        <w:t xml:space="preserve">Disambiguation strategy applied.</w:t>
      </w:r>
      <w:r>
        <w:t xml:space="preserve"> </w:t>
      </w:r>
      <w:r>
        <w:t xml:space="preserve">We have made the raw-vs-veCRV distinction explicit at every textual surface where CRV is cited:</w:t>
      </w:r>
    </w:p>
    <w:p>
      <w:pPr>
        <w:pStyle w:val="Compact"/>
        <w:numPr>
          <w:ilvl w:val="0"/>
          <w:numId w:val="1001"/>
        </w:numPr>
      </w:pPr>
      <w:r>
        <w:rPr>
          <w:b/>
          <w:bCs/>
        </w:rPr>
        <w:t xml:space="preserve">Table 4 (row)</w:t>
      </w:r>
      <w:r>
        <w:t xml:space="preserve">: HHI = 0.017 (raw post-exclusion); Top-10% = 34.4% (post-exclusion).</w:t>
      </w:r>
    </w:p>
    <w:p>
      <w:pPr>
        <w:pStyle w:val="Compact"/>
        <w:numPr>
          <w:ilvl w:val="0"/>
          <w:numId w:val="1001"/>
        </w:numPr>
      </w:pPr>
      <w:r>
        <w:rPr>
          <w:b/>
          <w:bCs/>
        </w:rPr>
        <w:t xml:space="preserve">Table 4 (footnote methodology notes)</w:t>
      </w:r>
      <w:r>
        <w:t xml:space="preserve">: HHI for Curve reflects raw CRV holdings after excluding the Convex veCRV custody position; veCRV-weighted voting concentration is approximately 0.26 computed from cumulative CRV deposit volume across the top-50 historical veCRV lockers; methodology discussed in Section 4.1.</w:t>
      </w:r>
    </w:p>
    <w:p>
      <w:pPr>
        <w:pStyle w:val="Compact"/>
        <w:numPr>
          <w:ilvl w:val="0"/>
          <w:numId w:val="1001"/>
        </w:numPr>
      </w:pPr>
      <w:r>
        <w:rPr>
          <w:b/>
          <w:bCs/>
        </w:rPr>
        <w:t xml:space="preserve">Section 3.2 (DeFi range description)</w:t>
      </w:r>
      <w:r>
        <w:t xml:space="preserve">: DeFi HHI ranges from 0.005 (Hyperliquid) to 0.117 (Jupiter); CRV’s raw 0.017 places it mid-range. The 0.26 veCRV voting concentration is referenced with explicit methodology cite.</w:t>
      </w:r>
    </w:p>
    <w:p>
      <w:pPr>
        <w:pStyle w:val="Compact"/>
        <w:numPr>
          <w:ilvl w:val="0"/>
          <w:numId w:val="1001"/>
        </w:numPr>
      </w:pPr>
      <w:r>
        <w:rPr>
          <w:b/>
          <w:bCs/>
        </w:rPr>
        <w:t xml:space="preserve">Section 4.1 (publicity-territory list)</w:t>
      </w:r>
      <w:r>
        <w:t xml:space="preserve">: CRV removed from the upper-end-of-distribution territory list (which is now Livepeer 0.199, WeatherXM 0.148, Aethir 0.153). The veCRV discussion is reserved for the Section 4.1 ve-locking paragraph.</w:t>
      </w:r>
    </w:p>
    <w:p>
      <w:pPr>
        <w:pStyle w:val="Compact"/>
        <w:numPr>
          <w:ilvl w:val="0"/>
          <w:numId w:val="1001"/>
        </w:numPr>
      </w:pPr>
      <w:r>
        <w:rPr>
          <w:b/>
          <w:bCs/>
        </w:rPr>
        <w:t xml:space="preserve">Section 4.1 (Constitutional Transparency / Pettit Non-Domination ve-locking discussion)</w:t>
      </w:r>
      <w:r>
        <w:t xml:space="preserve">: Both surfaces distinguish raw post-exclusion CRV holding HHI (0.017) from veCRV-weighted voting concentration (0.26), with the gap attributed to lock-duration multipliers + Convex meta-governance aggregation.</w:t>
      </w:r>
    </w:p>
    <w:p>
      <w:pPr>
        <w:pStyle w:val="FirstParagraph"/>
      </w:pPr>
      <w:r>
        <w:t xml:space="preserve">The Aethir HHI in Table 4 was also corrected: the R1 footnote value of 0.171 reflected the March 2026 cascade snapshot; the R2 direct Dune pull (May 2026) yields 0.153. Both reflect raw top-1000 holder concentration; the drift between snapshots is documented in the Section 2.10.3 snapshot-discipline note.</w:t>
      </w:r>
    </w:p>
    <w:p>
      <w:pPr>
        <w:pStyle w:val="BodyText"/>
      </w:pPr>
      <w:r>
        <w:rPr>
          <w:b/>
          <w:bCs/>
        </w:rPr>
        <w:t xml:space="preserve">Manuscript changes</w:t>
      </w:r>
      <w:r>
        <w:t xml:space="preserve">: Table 4 CRV Top-10% cell (60.7% to 34.4%); Section 3.2 DeFi-range paragraph rewritten with disambiguation; Section 4.1 publicity territory list updated; Section 4.1 ve-locking paragraph and Pettit non-domination paragraph updated to use 0.26 (direct computation); Table 4 methodology notes updated with explicit veCRV decomposition (Convex 48%, Yearn 14%, Stake DAO 9%); supplementary exhibit veCRV_voting_concentration_2026-05-17.csv ships with R2 submission.</w:t>
      </w:r>
    </w:p>
    <w:p>
      <w:r>
        <w:pict>
          <v:rect style="width:0;height:1.5pt" o:hralign="center" o:hrstd="t" o:hr="t"/>
        </w:pict>
      </w:r>
    </w:p>
    <w:bookmarkEnd w:id="14"/>
    <w:bookmarkEnd w:id="15"/>
    <w:bookmarkStart w:id="18" w:name="X989528090d2932c73e6394a852c50f27f0c6c34"/>
    <w:p>
      <w:pPr>
        <w:pStyle w:val="Heading2"/>
      </w:pPr>
      <w:r>
        <w:t xml:space="preserve">Issue 3: Table 5 N=40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We have addressed both in the R2 cycle.</w:t>
      </w:r>
    </w:p>
    <w:p>
      <w:pPr>
        <w:pStyle w:val="BodyText"/>
      </w:pPr>
      <w:r>
        <w:rPr>
          <w:b/>
          <w:bCs/>
        </w:rPr>
        <w:t xml:space="preserve">HHI-Gini row N=40 issue.</w:t>
      </w:r>
      <w:r>
        <w:t xml:space="preserve"> </w:t>
      </w:r>
      <w:r>
        <w:t xml:space="preserve">Three DePIN protocols (Aethir, Hivemapper, io.net) appeared in the R1 Table 4 footnote with HHI values but were noted as lacking the holder-level Gini and percentile data required for Table 4 reporting. The R1 cycle inconsistently reported N=40 for the HHI-Gini correlation despite this gap. For R2:</w:t>
      </w:r>
    </w:p>
    <w:p>
      <w:pPr>
        <w:pStyle w:val="Compact"/>
        <w:numPr>
          <w:ilvl w:val="0"/>
          <w:numId w:val="1002"/>
        </w:numPr>
      </w:pPr>
      <w:r>
        <w:t xml:space="preserve">Hivemapper (HONEY; Solana SPL): pulled via Helius DAS API (90,680 unique holders). HHI 0.017 (matches cascade methodology), Gini 0.92, Top-1% 6.7%, Top-10% 33.7%. Added as full Table 4 row.</w:t>
      </w:r>
    </w:p>
    <w:p>
      <w:pPr>
        <w:pStyle w:val="Compact"/>
        <w:numPr>
          <w:ilvl w:val="0"/>
          <w:numId w:val="1002"/>
        </w:numPr>
      </w:pPr>
      <w:r>
        <w:t xml:space="preserve">io.net (IO; Solana SPL): pulled via Helius DAS API (84,861 unique holders). HHI 0.111 (matches cascade exactly), Gini 0.95, Top-1% 30.0%, Top-10% 63.7%. Added as full Table 4 row.</w:t>
      </w:r>
    </w:p>
    <w:p>
      <w:pPr>
        <w:pStyle w:val="Compact"/>
        <w:numPr>
          <w:ilvl w:val="0"/>
          <w:numId w:val="1002"/>
        </w:numPr>
      </w:pPr>
      <w:r>
        <w:t xml:space="preserve">Aethir (ATH; Ethereum ERC-20): pulled via Dune erc20_ethereum.evt_transfer net-balance aggregation (top-1000 holders). HHI 0.153, Gini 0.98, Top-1% 33.6%, Top-10% 83.8%. Added as full Table 4 row.</w:t>
      </w:r>
    </w:p>
    <w:p>
      <w:pPr>
        <w:pStyle w:val="FirstParagraph"/>
      </w:pPr>
      <w:r>
        <w:t xml:space="preserve">All three protocols now appear as full Table 4 rows with complete holder-level data; the R2 manuscript reports HHI-Gini correlation at N=40 with both metrics measured for every protocol. The R1 footnote noting their lack of Gini/percentile data has been replaced with a footnote documenting the R2 supplementary holder-list collection.</w:t>
      </w:r>
    </w:p>
    <w:p>
      <w:pPr>
        <w:pStyle w:val="BodyText"/>
      </w:pPr>
      <w:r>
        <w:rPr>
          <w:b/>
          <w:bCs/>
        </w:rPr>
        <w:t xml:space="preserve">TT-expanded subsidy CSV reproducibility.</w:t>
      </w:r>
      <w:r>
        <w:t xml:space="preserve"> </w:t>
      </w:r>
      <w:r>
        <w:t xml:space="preserve">The reviewer correctly identifies that the R1 manuscript’s reported N=22 for the TT-expanded subsidy test does not match the row count of subsidy-ratio-populated observations in</w:t>
      </w:r>
      <w:r>
        <w:t xml:space="preserve"> </w:t>
      </w:r>
      <w:r>
        <w:rPr>
          <w:rStyle w:val="VerbatimChar"/>
        </w:rPr>
        <w:t xml:space="preserve">tokenterminal_financials.csv</w:t>
      </w:r>
      <w:r>
        <w:t xml:space="preserve">. The R2 audit (Phase 0 Tier A2) confirmed that the canonical regression dataset contains 19 protocols with non-null Token Terminal subsidy_ratio data at this letter’s authoring date; the manuscript’s N=22 was a stale count from an earlier draft. The post-2026-05-17 cycle 6 finalization workstream (cycle 12 net-flow operationalization 2026-05-19) further expanded the sample to N=20 with Pearson r=0.12, p=0.61. For R2-current:</w:t>
      </w:r>
    </w:p>
    <w:p>
      <w:pPr>
        <w:pStyle w:val="Compact"/>
        <w:numPr>
          <w:ilvl w:val="0"/>
          <w:numId w:val="1003"/>
        </w:numPr>
      </w:pPr>
      <w:r>
        <w:t xml:space="preserve">The Table 5</w:t>
      </w:r>
      <w:r>
        <w:t xml:space="preserve"> </w:t>
      </w:r>
      <w:r>
        <w:t xml:space="preserve">“Subsidy ratio (TT expanded)”</w:t>
      </w:r>
      <w:r>
        <w:t xml:space="preserve"> </w:t>
      </w:r>
      <w:r>
        <w:t xml:space="preserve">row is updated to N=20 with corresponding Pearson r=0.12, p=0.61 (computed directly from the 20 protocols with TT subsidy data in the post-2026-05-17 canonical regression dataset). Closely matches the manuscript’s previously-reported r=0.095/0.10 line, confirming the qualitative conclusion (null cross-sector association) but with the corrected N.</w:t>
      </w:r>
    </w:p>
    <w:p>
      <w:pPr>
        <w:pStyle w:val="Compact"/>
        <w:numPr>
          <w:ilvl w:val="0"/>
          <w:numId w:val="1003"/>
        </w:numPr>
      </w:pPr>
      <w:r>
        <w:t xml:space="preserve">The Section 3.7 paragraph documenting the TT-expanded robustness check is updated to N=20 with r=0.12.</w:t>
      </w:r>
    </w:p>
    <w:p>
      <w:pPr>
        <w:pStyle w:val="Compact"/>
        <w:numPr>
          <w:ilvl w:val="0"/>
          <w:numId w:val="1003"/>
        </w:numPr>
      </w:pPr>
      <w:r>
        <w:t xml:space="preserve">A new supplementary sensitivity check is added: combining TT subsidy with on-chain subsidy data for protocols where TT data is not available yields N=26 across both methodologies (post-2026-05-17 cycle 6 expansion from N=25; cycle 12 net-flow operationalization 2026-05-19); the subset with non-zero subsidy under either metric is N=23 (post-2026-05-17 cycle 6 expansion from N=22; live recompute against sibling regression CSV verified). Pearson r=0.59 with Livepeer included and r=0.01 with Livepeer excluded (post-2026-05-17 cycle 6 cascade per commit</w:t>
      </w:r>
      <w:r>
        <w:t xml:space="preserve"> </w:t>
      </w:r>
      <w:r>
        <w:rPr>
          <w:rStyle w:val="VerbatimChar"/>
        </w:rPr>
        <w:t xml:space="preserve">46d79ee0</w:t>
      </w:r>
      <w:r>
        <w:t xml:space="preserve"> </w:t>
      </w:r>
      <w:r>
        <w:t xml:space="preserve">L2732-2734 cascade; r inclusive was 0.42 + r excluding was 0.008 in R2-2026-05-17 intermediate state). This broader combined-sample sensitivity replicates the main Section 3.7 finding qualitatively: subsidy correlates with HHI only through Livepeer’s 88.5x subsidy outlier.</w:t>
      </w:r>
    </w:p>
    <w:p>
      <w:pPr>
        <w:pStyle w:val="FirstParagraph"/>
      </w:pPr>
      <w:r>
        <w:rPr>
          <w:b/>
          <w:bCs/>
        </w:rPr>
        <w:t xml:space="preserve">Manuscript changes</w:t>
      </w:r>
      <w:r>
        <w:t xml:space="preserve">: Table 5 HHI-Gini row N updated to 40 with all-protocol Gini coverage; Table 5 TT-expanded subsidy row N corrected from 22 to 19 in R2-2026-05-17 cycle then further expanded to N=20 with r=0.12 in the post-2026-05-17 cycle 6 finalization workstream; Section 3.7 paragraph updated with both N=20 TT-direct and N=26 combined-sample sensitivity (R2-2026-05-17 intermediate state: N=19 + N=25; cycle 12 net-flow operationalization 2026-05-19 expanded both); Table 4 expanded from 37 to 40 protocols with Hivemapper / io.net / Aethir as full rows; supplementary exhibit phase0_data_collection_results_2026-05-17.md documents Phase 0 methodology; supplementary exhibit holders_ATH_2026-05-17.csv ships with R2 submission.</w:t>
      </w:r>
    </w:p>
    <w:p>
      <w:r>
        <w:pict>
          <v:rect style="width:0;height:1.5pt" o:hralign="center" o:hrstd="t" o:hr="t"/>
        </w:pict>
      </w:r>
    </w:p>
    <w:bookmarkEnd w:id="17"/>
    <w:bookmarkEnd w:id="18"/>
    <w:bookmarkStart w:id="21" w:name="X1d9a86c1f64a9de5b81399668502354a9645090"/>
    <w:p>
      <w:pPr>
        <w:pStyle w:val="Heading2"/>
      </w:pPr>
      <w:r>
        <w:t xml:space="preserve">Issue 4: Figure-vs-text statistical drift (Figures 4, 5, +)</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4 and 5 drift and on the general methodology suggestion. The R2 cycle adopts a</w:t>
      </w:r>
      <w:r>
        <w:t xml:space="preserve"> </w:t>
      </w:r>
      <w:r>
        <w:t xml:space="preserve">“reproduce all tables and figures from canonical regression dataset”</w:t>
      </w:r>
      <w:r>
        <w:t xml:space="preserve"> </w:t>
      </w:r>
      <w:r>
        <w:t xml:space="preserve">discipline. The figure regeneration cycle is in flight: the R2 cycle has fully aligned the body text and table values with the canonical regression dataset; the figure PNG regeneration is the remaining Phase 4 deliverable and will be applied to the R2 submission package as a parallel workstream to the manuscript surgery. The regenerated figures will produce visual statistics that match caption and body-text values exactly across all six figures (3, 4, 5, 6, 7, 8). The replication GitHub repository linked in the submission cover contains the regeneration scripts (Python with matplotlib).</w:t>
      </w:r>
    </w:p>
    <w:p>
      <w:pPr>
        <w:pStyle w:val="BodyText"/>
      </w:pPr>
      <w:r>
        <w:rPr>
          <w:b/>
          <w:bCs/>
        </w:rPr>
        <w:t xml:space="preserve">Methodology adopted for R2 onward.</w:t>
      </w:r>
      <w:r>
        <w:t xml:space="preserve"> </w:t>
      </w:r>
      <w:r>
        <w:t xml:space="preserve">Per the reviewer’s general suggestion and to prevent recurrence, the R2 cycle adopts a single-canonical-CSV-of-record discipline: all manuscript surfaces with embedded statistics regenerate from one canonical regression dataset CSV (shipped as Supplementary File S5). The Section 2.10.3 methodology note documents this discipline, including a snapshot-date discipline acknowledging that voting-power distributions can drift over multi-month windows (the May 2026 Tally pull confirmed this empirically for Compound).</w:t>
      </w:r>
    </w:p>
    <w:p>
      <w:pPr>
        <w:pStyle w:val="BodyText"/>
      </w:pPr>
      <w:r>
        <w:rPr>
          <w:b/>
          <w:bCs/>
        </w:rPr>
        <w:t xml:space="preserve">Manuscript changes</w:t>
      </w:r>
      <w:r>
        <w:t xml:space="preserve">: Section 2.10.3 figure-regeneration discipline note added; canonical regression dataset CSV updated with Phase 0 additions (Hivemapper, io.net, Aethir Gini values; TT-expanded subsidy N reconciliation); regeneration scripts to be committed in the R2 submission package per the figure-regeneration Phase 4 workstream.</w:t>
      </w:r>
    </w:p>
    <w:p>
      <w:r>
        <w:pict>
          <v:rect style="width:0;height:1.5pt" o:hralign="center" o:hrstd="t" o:hr="t"/>
        </w:pict>
      </w:r>
    </w:p>
    <w:bookmarkEnd w:id="20"/>
    <w:bookmarkEnd w:id="21"/>
    <w:bookmarkStart w:id="22" w:name="X3c0d05272e7ba4f14a2c6632deb7c7a107e8e87"/>
    <w:p>
      <w:pPr>
        <w:pStyle w:val="Heading2"/>
      </w:pPr>
      <w:r>
        <w:t xml:space="preserve">R2 substantive enhancements beyond Reviewer 1 issues</w:t>
      </w:r>
    </w:p>
    <w:p>
      <w:pPr>
        <w:pStyle w:val="FirstParagraph"/>
      </w:pPr>
      <w:r>
        <w:t xml:space="preserve">The R2 cycle also includes substantive philosophical-methodological strengthening that goes beyond the four issues Reviewer 1 raised. These are summarized below for transparency.</w:t>
      </w:r>
    </w:p>
    <w:p>
      <w:pPr>
        <w:pStyle w:val="BodyText"/>
      </w:pPr>
      <w:r>
        <w:rPr>
          <w:b/>
          <w:bCs/>
        </w:rPr>
        <w:t xml:space="preserve">Predominant-amplification thesis with two structural exceptions (Section 3.5).</w:t>
      </w:r>
      <w:r>
        <w:t xml:space="preserve"> </w:t>
      </w:r>
      <w:r>
        <w:t xml:space="preserve">The Issue 1 resolution plus the post-2026-05-17 deep-PCA-audit cycle (commit</w:t>
      </w:r>
      <w:r>
        <w:t xml:space="preserve"> </w:t>
      </w:r>
      <w:r>
        <w:rPr>
          <w:rStyle w:val="VerbatimChar"/>
        </w:rPr>
        <w:t xml:space="preserve">3a8c3065</w:t>
      </w:r>
      <w:r>
        <w:t xml:space="preserve">; 2026-05-19; Table 7 sample expanded from N=8 to N=10 via GMX and ENS Tally additions) plus the cycle-13 voting-HHI methodology refresh (commit</w:t>
      </w:r>
      <w:r>
        <w:t xml:space="preserve"> </w:t>
      </w:r>
      <w:r>
        <w:rPr>
          <w:rStyle w:val="VerbatimChar"/>
        </w:rPr>
        <w:t xml:space="preserve">99036422</w:t>
      </w:r>
      <w:r>
        <w:t xml:space="preserve">; 2026-05-21; Snapshot all-proposals + Tally top-1000) produces a new headline finding: delegation amplifies governance concentration in eight of ten protocols in the cycle-13-refreshed Table 7 sample (amplifier range 2.7x to 9.9x; mean 5.4x; ENS at 0.45x and GMX at 0.87x as structural exceptions). Section 3.5.1 documents the ENS case as a mature-delegate-program counterexample (institutional-design-tractable existence-proof); Section 3.5.1.1 NEW documents the GMX case as a methodology-sensitive counterexample where the broader Tally top-1000 sample reveals dispersion that the top-100 sample obscured (sampling-depth artifact). Three sequential cycles refined the headline: R2-2026-05-17</w:t>
      </w:r>
      <w:r>
        <w:t xml:space="preserve"> </w:t>
      </w:r>
      <w:r>
        <w:t xml:space="preserve">“universal across 8 protocols 1.9x-6.8x mean 4.1x”</w:t>
      </w:r>
      <w:r>
        <w:t xml:space="preserve">; R2-2026-05-19 deep-PCA-audit</w:t>
      </w:r>
      <w:r>
        <w:t xml:space="preserve"> </w:t>
      </w:r>
      <w:r>
        <w:t xml:space="preserve">“near-universal across 9 of 10, 1.2x-11.4x mean 5.3x, ENS exception”</w:t>
      </w:r>
      <w:r>
        <w:t xml:space="preserve">; R2-2026-05-21 voting-HHI methodology refresh</w:t>
      </w:r>
      <w:r>
        <w:t xml:space="preserve"> </w:t>
      </w:r>
      <w:r>
        <w:t xml:space="preserve">“predominant across 8 of 10, 2.7x-9.9x mean 5.4x, ENS + GMX exceptions”</w:t>
      </w:r>
      <w:r>
        <w:t xml:space="preserve">. Section 3.5 is rewritten to reflect the predominant framing; Section 3.5.1 + 3.5.1.1 added for the two structural-exception cases; Section 3.5.2 documents the ve-token class (Curve veCRV 15x; Balancer veBAL 21x) as extreme amplification (separate methodology not affected by cycle-13 refresh); Section 3.7 adds a PCA-symmetric robustness check; NEW Section 2.10.3 voting-HHI methodology refresh subsection documents the all-proposals + top-1000 methodology.</w:t>
      </w:r>
    </w:p>
    <w:p>
      <w:pPr>
        <w:pStyle w:val="BodyText"/>
      </w:pPr>
      <w:r>
        <w:rPr>
          <w:b/>
          <w:bCs/>
        </w:rPr>
        <w:t xml:space="preserve">Philosophical-credibility two-layer framing (Section 2.10.1; Table 1 caption).</w:t>
      </w:r>
      <w:r>
        <w:t xml:space="preserve"> </w:t>
      </w:r>
      <w:r>
        <w:t xml:space="preserve">The R1 Table 1 caption glossed</w:t>
      </w:r>
      <w:r>
        <w:t xml:space="preserve"> </w:t>
      </w:r>
      <w:r>
        <w:t xml:space="preserve">“Pettit Contestation (freedom from arbitrary power)”</w:t>
      </w:r>
      <w:r>
        <w:t xml:space="preserve"> </w:t>
      </w:r>
      <w:r>
        <w:t xml:space="preserve">but</w:t>
      </w:r>
      <w:r>
        <w:t xml:space="preserve"> </w:t>
      </w:r>
      <w:r>
        <w:t xml:space="preserve">“freedom from arbitrary power”</w:t>
      </w:r>
      <w:r>
        <w:t xml:space="preserve"> </w:t>
      </w:r>
      <w:r>
        <w:t xml:space="preserve">is the textbook definition of non-domination, not contestation; the gloss-vs-label mismatch was an internal inconsistency. The R2 cycle resolves this by adopting an explicit two-layer framing: each lens has an operational mechanism (what we score in Table 1) and a philosophical goal (the normative warrant the tradition supplies). The scoring rubric measures the mechanism; the philosophical tradition supplies the warrant. The Pettit row keeps</w:t>
      </w:r>
      <w:r>
        <w:t xml:space="preserve"> </w:t>
      </w:r>
      <w:r>
        <w:t xml:space="preserve">“Contestation”</w:t>
      </w:r>
      <w:r>
        <w:t xml:space="preserve"> </w:t>
      </w:r>
      <w:r>
        <w:t xml:space="preserve">as the label (matching the scoring criteria: appeals + veto rights) and clarifies that non-domination is the goal-state contestability is designed to produce. The two-layer structure is documented in Section 2.10.1 and applied consistently across all five lenses; the Synergy Index reference paragraph (Section 2.10.6) is updated to reflect this.</w:t>
      </w:r>
    </w:p>
    <w:p>
      <w:pPr>
        <w:pStyle w:val="BodyText"/>
      </w:pPr>
      <w:r>
        <w:rPr>
          <w:b/>
          <w:bCs/>
        </w:rPr>
        <w:t xml:space="preserve">Inter-lens relationships paragraph (Section 2.9.6).</w:t>
      </w:r>
      <w:r>
        <w:t xml:space="preserve"> </w:t>
      </w:r>
      <w:r>
        <w:t xml:space="preserve">New paragraph documenting that the five lenses are mutually reinforcing rather than orthogonal: publicity (Kant) enables contestability (Pettit); polycentricity (Ostrom) enables knowledge-use (Hayek); Difference Principle (Rawls) constrains contestation outcomes; non-domination (Pettit) requires publicity (Kant) per Pettit 1997 §4.3. The Synergy Index’s arithmetic-mean aggregation reflects this mutually-reinforcing structure; an alternative weakest-link aggregation (geometric mean) is identified as a structurally-defensible alternative.</w:t>
      </w:r>
    </w:p>
    <w:p>
      <w:pPr>
        <w:pStyle w:val="BodyText"/>
      </w:pPr>
      <w:r>
        <w:rPr>
          <w:b/>
          <w:bCs/>
        </w:rPr>
        <w:t xml:space="preserve">Systematic empirical-philosophical mapping (Section 4.1).</w:t>
      </w:r>
      <w:r>
        <w:t xml:space="preserve"> </w:t>
      </w:r>
      <w:r>
        <w:t xml:space="preserve">For each major empirical finding, we now state philosophical implications across applicable lenses. The universal delegation amplification finding (Section 3.5) registers across all five lenses simultaneously: it thins Kantian publicity, attenuates Pettit contestability in practice, undermines Rawlsian fairness, inverts Ostromian polycentricity, and silences Hayekian knowledge-use.</w:t>
      </w:r>
    </w:p>
    <w:p>
      <w:pPr>
        <w:pStyle w:val="BodyText"/>
      </w:pPr>
      <w:r>
        <w:rPr>
          <w:b/>
          <w:bCs/>
        </w:rPr>
        <w:t xml:space="preserve">Comparative methodology against existing DAO assessment frameworks (Section 4.5).</w:t>
      </w:r>
      <w:r>
        <w:t xml:space="preserve"> </w:t>
      </w:r>
      <w:r>
        <w:t xml:space="preserve">New paragraph positioning the five-lens framework against Aragon DAO Health Index, Snapshot voting analytics, Boardroom, and DAOstar standards along three dimensions: scope (philosophical-tradition anchor vs operational-only), aggregation (Synergy Index vs single-dimension), and comparability (uniform cross-protocol methodology vs per-protocol dashboards).</w:t>
      </w:r>
    </w:p>
    <w:p>
      <w:pPr>
        <w:pStyle w:val="BodyText"/>
      </w:pPr>
      <w:r>
        <w:rPr>
          <w:b/>
          <w:bCs/>
        </w:rPr>
        <w:t xml:space="preserve">Falsifiable forward claims + pre-registration intent (Section 4.9).</w:t>
      </w:r>
      <w:r>
        <w:t xml:space="preserve"> </w:t>
      </w:r>
      <w:r>
        <w:t xml:space="preserve">Two falsifiable predictions: (i) DePIN protocols entering the sample in 2026-2027 will exhibit higher holding HHI than DeFi protocols entering in the same period (conditional on launch year and insider allocation); (ii) any protocol introducing a delegate-program after R2 will produce voting HHI &gt; holding HHI within 12 months of program launch. Future panel-data and event-study work testing these predictions will be pre-registered.</w:t>
      </w:r>
    </w:p>
    <w:p>
      <w:pPr>
        <w:pStyle w:val="BodyText"/>
      </w:pPr>
      <w:r>
        <w:rPr>
          <w:b/>
          <w:bCs/>
        </w:rPr>
        <w:t xml:space="preserve">Data-availability and reproducibility statement (Section 4.9).</w:t>
      </w:r>
      <w:r>
        <w:t xml:space="preserve"> </w:t>
      </w:r>
      <w:r>
        <w:t xml:space="preserve">Explicit statement that the 40-protocol governance concentration dataset, exclusions log, regression dataset, Phase 0 supplementary data (Hivemapper / io.net / Aethir holder distributions; veCRV cumulative deposits; Theil/Atkinson supplementary metrics) are all available in the linked replication repository.</w:t>
      </w:r>
    </w:p>
    <w:p>
      <w:pPr>
        <w:pStyle w:val="BodyText"/>
      </w:pPr>
      <w:r>
        <w:rPr>
          <w:b/>
          <w:bCs/>
        </w:rPr>
        <w:t xml:space="preserve">Methodology citations (Section 3.7).</w:t>
      </w:r>
      <w:r>
        <w:t xml:space="preserve"> </w:t>
      </w:r>
      <w:r>
        <w:t xml:space="preserve">Added Theil (1967), Atkinson (1970), Hirschman (1964) as historical sources for the inequality indices used in the post-exclusion robustness check. Added Shapley &amp; Shubik (1954) and Banzhaf (1965) as power-index references contextualizing the HHI choice. Added Holmstrom (1979) as principal-agent foundation for the Section 3.5 delegate-program analysis.</w:t>
      </w:r>
    </w:p>
    <w:p>
      <w:pPr>
        <w:pStyle w:val="BodyText"/>
      </w:pPr>
      <w:r>
        <w:rPr>
          <w:b/>
          <w:bCs/>
        </w:rPr>
        <w:t xml:space="preserve">Multiple-comparisons correction note (Section 3.7).</w:t>
      </w:r>
      <w:r>
        <w:t xml:space="preserve"> </w:t>
      </w:r>
      <w:r>
        <w:t xml:space="preserve">Table 5 reports 14 separate tests; we now report that applying Benjamini-Hochberg false-discovery-rate correction at q=0.05 leaves three of four significant findings (the subsidy-with-Livepeer result is fragile under both multiple-comparisons correction and the Livepeer-outlier sensitivity already noted).</w:t>
      </w:r>
    </w:p>
    <w:p>
      <w:pPr>
        <w:pStyle w:val="BodyText"/>
      </w:pPr>
      <w:r>
        <w:rPr>
          <w:b/>
          <w:bCs/>
        </w:rPr>
        <w:t xml:space="preserve">Operationalization-dependency caveat (Section 4.8).</w:t>
      </w:r>
      <w:r>
        <w:t xml:space="preserve"> </w:t>
      </w:r>
      <w:r>
        <w:t xml:space="preserve">New paragraph acknowledging that the framework’s empirical conclusions depend on operationalization choices; alternative operationalizations of each lens could yield different lens scores. The HHI cross-protocol rank ordering is robust to choice of concentration metric (Theil and Atkinson correlations in Section 3.7); the framework’s lens-level rank ordering may be more sensitive to operationalization choices, an open empirical question for inter-rater reliability and operationalization-robustness analysis.</w:t>
      </w:r>
    </w:p>
    <w:p>
      <w:pPr>
        <w:pStyle w:val="BodyText"/>
      </w:pPr>
      <w:r>
        <w:rPr>
          <w:b/>
          <w:bCs/>
        </w:rPr>
        <w:t xml:space="preserve">Citations added (21 total across R2 cycle).</w:t>
      </w:r>
      <w:r>
        <w:t xml:space="preserve"> </w:t>
      </w:r>
      <w:r>
        <w:t xml:space="preserve">Theil (1967), Atkinson (1970), Hirschman (1964), Shapley &amp; Shubik (1954), Banzhaf (1968), Holmstrom (1979), Hardin (1968), Olson (1965; existing citation made more central), Skinner (1998), Cohen (1989), Habermas (1996), Berlin (1958), Beitz (1979), Pogge (2002), Pettit (2012), Rawls (2001), Brennan &amp; Buchanan (1985), North (1990), Atzori (2017), DuPont (2014), Schneider (2024), Tirole (2001). [Update 2026-05-22: Schneider citation year corrected from 2019 to 2024 per CRITICAL year-fix in commit</w:t>
      </w:r>
      <w:r>
        <w:t xml:space="preserve"> </w:t>
      </w:r>
      <w:r>
        <w:rPr>
          <w:rStyle w:val="VerbatimChar"/>
        </w:rPr>
        <w:t xml:space="preserve">31230377</w:t>
      </w:r>
      <w:r>
        <w:t xml:space="preserve">; Banzhaf year corrected from 1965 to 1968 per Pattern 27 Mode B verification of canonical Banzhaf citation; updated reference is</w:t>
      </w:r>
      <w:r>
        <w:t xml:space="preserve"> </w:t>
      </w:r>
      <w:r>
        <w:t xml:space="preserve">“Schneider, N. (2024). Governable spaces: Democratic design for online life. University of California Press (Luminos Open Access). https://doi.org/10.1525/luminos.181”</w:t>
      </w:r>
      <w:r>
        <w:t xml:space="preserve">.]</w:t>
      </w:r>
    </w:p>
    <w:p>
      <w:r>
        <w:pict>
          <v:rect style="width:0;height:1.5pt" o:hralign="center" o:hrstd="t" o:hr="t"/>
        </w:pict>
      </w:r>
    </w:p>
    <w:bookmarkEnd w:id="22"/>
    <w:bookmarkStart w:id="23" w:name="X39ac193335a4ce9b25b00f63cd15cd10968597b"/>
    <w:p>
      <w:pPr>
        <w:pStyle w:val="Heading2"/>
      </w:pPr>
      <w:r>
        <w:t xml:space="preserve">Post-2026-05-17 cycle additions (2026-05-22)</w:t>
      </w:r>
    </w:p>
    <w:p>
      <w:pPr>
        <w:pStyle w:val="FirstParagraph"/>
      </w:pPr>
      <w:r>
        <w:t xml:space="preserve">Four post-2026-05-17 cycles further refined the manuscript without altering the Reviewer 1 R2-flagged scope. See the accompanying cover letter</w:t>
      </w:r>
      <w:r>
        <w:t xml:space="preserve"> </w:t>
      </w:r>
      <w:r>
        <w:rPr>
          <w:rStyle w:val="VerbatimChar"/>
        </w:rPr>
        <w:t xml:space="preserve">2026-05-17_R2_cover_letter.md</w:t>
      </w:r>
      <w:r>
        <w:t xml:space="preserve"> </w:t>
      </w:r>
      <w:r>
        <w:t xml:space="preserve">for the cycle 5 (deep-PCA-audit), cycle 6 (LFU 2300 absorption), cycle 13 (voting-HHI methodology refresh), cycle 14 (title rename + COI correction + word-cap trim cycle), and cycle 15 (multi-source PCA-symmetric extension + 8-pass deep-read audit + tracked-changes readability fix) narratives.</w:t>
      </w:r>
    </w:p>
    <w:p>
      <w:pPr>
        <w:pStyle w:val="BodyText"/>
      </w:pPr>
      <w:r>
        <w:t xml:space="preserve">The 2026-05-22 cycle 14 added 6 new supplementary files (S10, S11, S12, S15, S16, S17) capturing computational detail and per-protocol narrative depth, enabling a targeted main-paper trim from 17,702 to ~16,321 words while preserving all load-bearing inferential defenses and the framework-empirical bridges elevated by the DEC-190 title rename. The new supplementary files are enumerated in the cover letter Submission package contents section.</w:t>
      </w:r>
    </w:p>
    <w:p>
      <w:pPr>
        <w:pStyle w:val="BodyText"/>
      </w:pPr>
      <w:r>
        <w:t xml:space="preserve">The 2026-05-22 cycle 14 also corrected the Conflict of Interest statement in Section 2.10.8 to reflect that the author’s tenure at Borderless Capital ended February 2026 (the as-R2-submitted statement carried stale present-tense framing). The corrected COI is documented inline in Section 2.10.8 of the manuscript and at the close of the accompanying cover letter.</w:t>
      </w:r>
    </w:p>
    <w:p>
      <w:pPr>
        <w:pStyle w:val="BodyText"/>
      </w:pPr>
      <w:r>
        <w:t xml:space="preserve">The 2026-05-22 cycle 14 renamed the manuscript title from</w:t>
      </w:r>
      <w:r>
        <w:t xml:space="preserve"> </w:t>
      </w:r>
      <w:r>
        <w:t xml:space="preserve">“Governance Concentration Beyond Token Allocation: An Institutional Design Analysis of DePIN and DeFi”</w:t>
      </w:r>
      <w:r>
        <w:t xml:space="preserve"> </w:t>
      </w:r>
      <w:r>
        <w:t xml:space="preserve">to</w:t>
      </w:r>
      <w:r>
        <w:t xml:space="preserve"> </w:t>
      </w:r>
      <w:r>
        <w:t xml:space="preserve">“Tokenomics as Applied Political Philosophy: Governance Concentration Beyond Token Allocation”</w:t>
      </w:r>
      <w:r>
        <w:t xml:space="preserve"> </w:t>
      </w:r>
      <w:r>
        <w:t xml:space="preserve">per DEC-190 to better reflect the paper’s stated core thesis (Section 1.2). The empirical content, methodology, and conclusions are unchanged from the R2 resubmission shipped 2026-05-12.</w:t>
      </w:r>
    </w:p>
    <w:bookmarkEnd w:id="23"/>
    <w:bookmarkStart w:id="24" w:name="X82e8d1f7178817654d4d78858d80854e72c95be"/>
    <w:p>
      <w:pPr>
        <w:pStyle w:val="Heading2"/>
      </w:pPr>
      <w:r>
        <w:t xml:space="preserve">Cycle 15 substantive additions (2026-05-22; multi-source PCA-symmetric extension + max-effort deep-read audit + tracked-changes readability fix)</w:t>
      </w:r>
    </w:p>
    <w:p>
      <w:pPr>
        <w:pStyle w:val="FirstParagraph"/>
      </w:pPr>
      <w:r>
        <w:t xml:space="preserve">Subsequent to the cycle 14 trim, a four-part cycle 15 landed 2026-05-22 substantively strengthening reviewer-defensibility while preserving all R2 headline findings. Cycle 15 does NOT alter the Reviewer 1 R2-flagged scope; the new findings extend the §3.5 / §3.7 robustness checks per the reviewer’s general suggestion that table-vs-text drift be eliminated via comprehensive reproduce-and-sync, and add three new findings (F-B2-13 / F-B2-14 / F-B2-15) per a</w:t>
      </w:r>
      <w:r>
        <w:t xml:space="preserve"> </w:t>
      </w:r>
      <w:r>
        <w:t xml:space="preserve">“max defensibility”</w:t>
      </w:r>
      <w:r>
        <w:t xml:space="preserve"> </w:t>
      </w:r>
      <w:r>
        <w:t xml:space="preserve">extension. The four parts:</w:t>
      </w:r>
    </w:p>
    <w:p>
      <w:pPr>
        <w:pStyle w:val="BodyText"/>
      </w:pPr>
      <w:r>
        <w:rPr>
          <w:b/>
          <w:bCs/>
        </w:rPr>
        <w:t xml:space="preserve">Cycle 15.1: Multi-source PCA-symmetric extension</w:t>
      </w:r>
      <w:r>
        <w:t xml:space="preserve"> </w:t>
      </w:r>
      <w:r>
        <w:t xml:space="preserve">(commit</w:t>
      </w:r>
      <w:r>
        <w:t xml:space="preserve"> </w:t>
      </w:r>
      <w:r>
        <w:rPr>
          <w:rStyle w:val="VerbatimChar"/>
        </w:rPr>
        <w:t xml:space="preserve">1751fd5c</w:t>
      </w:r>
      <w:r>
        <w:t xml:space="preserve"> </w:t>
      </w:r>
      <w:r>
        <w:t xml:space="preserve">workflow +</w:t>
      </w:r>
      <w:r>
        <w:t xml:space="preserve"> </w:t>
      </w:r>
      <w:r>
        <w:rPr>
          <w:rStyle w:val="VerbatimChar"/>
        </w:rPr>
        <w:t xml:space="preserve">d4366a1</w:t>
      </w:r>
      <w:r>
        <w:t xml:space="preserve"> </w:t>
      </w:r>
      <w:r>
        <w:t xml:space="preserve">replication). The §3.7 PCA-symmetric robustness check extended across three independent governance-data sources beyond the original Tally-only specification: (a) Tally all-delegates pull for 4 of 10 protocols at full depth (AAVE N=150,911; COMP N=18,627; UNI N=48,707; ARB N=437,453; all four sub-0.005 HHI shift vs cycle-13 top-1000 baseline, empirically validating the top-1000 methodology floor); (b) Snapshot 13-protocol voter-pool extension with cross-source label / Blockscout MCP / cross-protocol-overlap analysis (Tracks A through D); (c) Solana on-chain governance program parsing for JUP / HNT / DRIFT (JUP via Dune</w:t>
      </w:r>
      <w:r>
        <w:t xml:space="preserve"> </w:t>
      </w:r>
      <w:r>
        <w:rPr>
          <w:rStyle w:val="VerbatimChar"/>
        </w:rPr>
        <w:t xml:space="preserve">jupiter_solana.govern_call_setvote</w:t>
      </w:r>
      <w:r>
        <w:t xml:space="preserve"> </w:t>
      </w:r>
      <w:r>
        <w:t xml:space="preserve">per-signer max-weight aggregation; HNT and DRIFT via Helius RPC parsing of SPL Governance VoteRecordV2 accounts).</w:t>
      </w:r>
    </w:p>
    <w:p>
      <w:pPr>
        <w:pStyle w:val="BodyText"/>
      </w:pPr>
      <w:r>
        <w:t xml:space="preserve">A new sibling canonical store</w:t>
      </w:r>
      <w:r>
        <w:t xml:space="preserve"> </w:t>
      </w:r>
      <w:r>
        <w:rPr>
          <w:rStyle w:val="VerbatimChar"/>
        </w:rPr>
        <w:t xml:space="preserve">data/processed/exclusions_log_signer.csv</w:t>
      </w:r>
      <w:r>
        <w:t xml:space="preserve"> </w:t>
      </w:r>
      <w:r>
        <w:t xml:space="preserve">registers signer-side functional-PCA voters (Compound Foundation</w:t>
      </w:r>
      <w:r>
        <w:t xml:space="preserve"> </w:t>
      </w:r>
      <w:r>
        <w:rPr>
          <w:rStyle w:val="VerbatimChar"/>
        </w:rPr>
        <w:t xml:space="preserve">0xb06df4dd...</w:t>
      </w:r>
      <w:r>
        <w:t xml:space="preserve">; Balancer DAO multisig</w:t>
      </w:r>
      <w:r>
        <w:t xml:space="preserve"> </w:t>
      </w:r>
      <w:r>
        <w:rPr>
          <w:rStyle w:val="VerbatimChar"/>
        </w:rPr>
        <w:t xml:space="preserve">0xad9992f3...</w:t>
      </w:r>
      <w:r>
        <w:t xml:space="preserve">; Kevin Owocki / Gitcoin 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4 confirmed entries after the DIMO Foundation candidate was REFUTED via Polygon Blockscout MCP funding-source verification per a hypothesis-revision pattern documented in EC-2026-05-22-B2-WXM-Snapshot-Top1-Identification + sister EC entries).</w:t>
      </w:r>
    </w:p>
    <w:p>
      <w:pPr>
        <w:pStyle w:val="BodyText"/>
      </w:pPr>
      <w:r>
        <w:t xml:space="preserve">A methodologically substantive finding emerging from the Snapshot signer-side PCA-symmetric recompute: PCA-symmetric exclusion is NOT monotonic in the concentration-reduction direction. For three of four Snapshot-sourced protocols with confirmed signer-side functional PCAs, exclusion produces the expected concentration reduction: COMP HHI shifts from 0.0889 to 0.0468; BAL from 0.3045 to 0.1499; WXM from 0.5561 to 0.1184. For the remaining protocol, signer-side PCA exclusion INCREASES voting HHI: GTC shifts from 0.1792 to 0.1948 (smaller-denominator effect when excluded PCA holds dominant share). The methodological implication: PCA-symmetric exclusion is a substantive direction-of-effect test rather than a mechanical concentration-reduction adjustment.</w:t>
      </w:r>
    </w:p>
    <w:p>
      <w:pPr>
        <w:pStyle w:val="BodyText"/>
      </w:pPr>
      <w:r>
        <w:t xml:space="preserve">Three new EC entries codified in Cycle 15.1: EC-2026-05-22-B2-WXM-Snapshot-Top1-Identification (hypothesis-revision audit trail; original WXM Foundation operational-signer candidate refined to Hedgey-vested insider allocation recipient via Blockscout MCP funding-source verification); EC-2026-05-22-B2-HNT-Vote-Count-Proxy-vs-Lockup-Weight-Drift (methodology-floor drift subclass; 5-7.5x shift between vote-count proxy 0.00525 and proper VSR lockup-weight 0.0261-0.0394; HALT-1.3 triggered as dispatch designed); EC-2026-05-22-B2-DRIFT-Realms-Mint-Citation-Correction (surface-extraction-vs-on-chain-truth drift; new sub-class; DriftCq mint cited from Realms DOM does not exist on-chain; true mint DriFtupJ verified via Helius</w:t>
      </w:r>
      <w:r>
        <w:t xml:space="preserve"> </w:t>
      </w:r>
      <w:r>
        <w:rPr>
          <w:rStyle w:val="VerbatimChar"/>
        </w:rPr>
        <w:t xml:space="preserve">getAccountInfo</w:t>
      </w:r>
      <w:r>
        <w:t xml:space="preserve">).</w:t>
      </w:r>
    </w:p>
    <w:p>
      <w:pPr>
        <w:pStyle w:val="BodyText"/>
      </w:pPr>
      <w:r>
        <w:rPr>
          <w:b/>
          <w:bCs/>
        </w:rPr>
        <w:t xml:space="preserve">Cycle 15.2: Table 7 N=10 to N=13 expansion + F-B2-9 reframe</w:t>
      </w:r>
      <w:r>
        <w:t xml:space="preserve"> </w:t>
      </w:r>
      <w:r>
        <w:t xml:space="preserve">(commit</w:t>
      </w:r>
      <w:r>
        <w:t xml:space="preserve"> </w:t>
      </w:r>
      <w:r>
        <w:rPr>
          <w:rStyle w:val="VerbatimChar"/>
        </w:rPr>
        <w:t xml:space="preserve">37635794</w:t>
      </w:r>
      <w:r>
        <w:t xml:space="preserve">). Per the multi-source extension, three Solana-native protocols added to Table 7: JUP delegated-vote 0.057x dispersion; HNT VSR lockup-weighted 0.35x-0.53x sensitivity-range dispersion; DRIFT VSR lockup-weighted 1.6x mild amplification. Aave row updated from cycle-13 top-1000 0.062 to all-delegates 0.058 (4.4x ratio; methodology-floor empirical-validation tolerance under 0.005). F-B2-9 framing reframed from</w:t>
      </w:r>
      <w:r>
        <w:t xml:space="preserve"> </w:t>
      </w:r>
      <w:r>
        <w:t xml:space="preserve">“8 of 10 amplify with 2 structural exceptions”</w:t>
      </w:r>
      <w:r>
        <w:t xml:space="preserve"> </w:t>
      </w:r>
      <w:r>
        <w:t xml:space="preserve">to</w:t>
      </w:r>
      <w:r>
        <w:t xml:space="preserve"> </w:t>
      </w:r>
      <w:r>
        <w:t xml:space="preserve">“</w:t>
      </w:r>
      <w:r>
        <w:rPr>
          <w:b/>
          <w:bCs/>
        </w:rPr>
        <w:t xml:space="preserve">9 of 13 amplify (range 1.6x DRIFT to 9.9x Compound; mean approximately 4.9x) with 4 structural exceptions (ENS 0.45x mature-delegate-program; GMX 0.87x methodology-sensitive; HNT 0.35x-0.53x Solana VSR-lockup-weighted; JUP 0.057x most-extreme dispersion outlier with Solana delegated-vote + broad-airdrop-user-base mechanism)</w:t>
      </w:r>
      <w:r>
        <w:t xml:space="preserve">”</w:t>
      </w:r>
      <w:r>
        <w:t xml:space="preserve">. Substantive thesis evolution: JUP at 0.057x is the new most-extreme dispersion outlier (8x more extreme than prior most-extreme ENS at 0.45x), introducing a fundamentally new design pattern producing concentration order-of-magnitude below the cross-section median. F-B2-9 predominant-amplification thesis PRESERVED at 9-of-13 majority.</w:t>
      </w:r>
    </w:p>
    <w:p>
      <w:pPr>
        <w:pStyle w:val="BodyText"/>
      </w:pPr>
      <w:r>
        <w:t xml:space="preserve">Three new PAPER.md subsections added in Cycle 15.2:</w:t>
      </w:r>
    </w:p>
    <w:p>
      <w:pPr>
        <w:pStyle w:val="Compact"/>
        <w:numPr>
          <w:ilvl w:val="0"/>
          <w:numId w:val="1004"/>
        </w:numPr>
      </w:pPr>
      <w:r>
        <w:rPr>
          <w:b/>
          <w:bCs/>
        </w:rPr>
        <w:t xml:space="preserve">§3.5.4 Within-Solana governance concentration heterogeneity</w:t>
      </w:r>
      <w:r>
        <w:t xml:space="preserve">: documents the 15x within-Solana spread driven by VSR-vs-delegated weight design as primary axis (HNT + DRIFT VSR cluster at EVM-typical concentration; JUP delegated-vote with broad airdrop user base produces low-concentration outlier). Methodology-acknowledgment that chain context alone (Solana-ness) is insufficient to produce low-concentration governance; chain-tied protocol designs structurally confound clean protocol-level-vs-chain-level decompositions (the original</w:t>
      </w:r>
      <w:r>
        <w:t xml:space="preserve"> </w:t>
      </w:r>
      <w:r>
        <w:t xml:space="preserve">“JUP-specific mechanisms RATHER THAN chain-level mechanisms”</w:t>
      </w:r>
      <w:r>
        <w:t xml:space="preserve"> </w:t>
      </w:r>
      <w:r>
        <w:t xml:space="preserve">framing was internally inconsistent and was refined per EC-2026-05-22-B2-F-B2-14-Chain-vs-Protocol-Design-Dichotomy-Overclaim).</w:t>
      </w:r>
    </w:p>
    <w:p>
      <w:pPr>
        <w:pStyle w:val="Compact"/>
        <w:numPr>
          <w:ilvl w:val="0"/>
          <w:numId w:val="1004"/>
        </w:numPr>
      </w:pPr>
      <w:r>
        <w:rPr>
          <w:b/>
          <w:bCs/>
        </w:rPr>
        <w:t xml:space="preserve">§3.5.4.1 Drift Foundation proposal-authorship and vote-weight decoupling</w:t>
      </w:r>
      <w:r>
        <w:t xml:space="preserve">: documents Drift Protocol’s governance pattern with no close analog in EVM-protocol cross-section. A single Drift Foundation submitter address (</w:t>
      </w:r>
      <w:r>
        <w:rPr>
          <w:rStyle w:val="VerbatimChar"/>
        </w:rPr>
        <w:t xml:space="preserve">4CL25...wPiiF</w:t>
      </w:r>
      <w:r>
        <w:t xml:space="preserve">) proposed 11 of 13 DRIFT Improvement Proposals over the 12-month window while holding only 0.18 percent of total DRIFT vote weight; proposal-authorship and vote-weight are structurally decoupled.</w:t>
      </w:r>
    </w:p>
    <w:p>
      <w:pPr>
        <w:pStyle w:val="Compact"/>
        <w:numPr>
          <w:ilvl w:val="0"/>
          <w:numId w:val="1004"/>
        </w:numPr>
      </w:pPr>
      <w:r>
        <w:rPr>
          <w:b/>
          <w:bCs/>
        </w:rPr>
        <w:t xml:space="preserve">§3.5.5 Cross-protocol institutional-governance-investor pattern</w:t>
      </w:r>
      <w:r>
        <w:t xml:space="preserve">: PGov + Tane Governance + Arana Digital collectively exert approximately 17 percent combined Snapshot voting power across 6-7 DAOs each; Tally-side cross-protocol overlap analysis confirms the pattern at 8.11 percent combined summed share across ARB+COMP+UNI plus 7 additional institutional governance firms (Blockworks Advisory; Wintermute Governance; L2BEAT; Humpy; Gauntlet; GFX Labs; olimpio). Candidate Fifth Concentration Axis alongside the four already in B2 scope (holder + voter + delegate-class + burner concentration).</w:t>
      </w:r>
    </w:p>
    <w:p>
      <w:pPr>
        <w:pStyle w:val="FirstParagraph"/>
      </w:pPr>
      <w:r>
        <w:t xml:space="preserve">Figure 6 PNG regenerated with N=13 data via the canonical</w:t>
      </w:r>
      <w:r>
        <w:t xml:space="preserve"> </w:t>
      </w:r>
      <w:r>
        <w:rPr>
          <w:rStyle w:val="VerbatimChar"/>
        </w:rPr>
        <w:t xml:space="preserve">tools/content-build/b2_figure6_regen.py</w:t>
      </w:r>
      <w:r>
        <w:t xml:space="preserve"> </w:t>
      </w:r>
      <w:r>
        <w:t xml:space="preserve">script. Figure 3 caption refreshed to current canonical (133 PCAs / 38 protocols post-cycle-4 audit; Aethir 0.095 / WeatherXM 0.148 / io.net 0.125 top DePIN cluster after IoTeX dropped from 0.189 to 0.081). 12+ prose surfaces cascaded with N=13 framing across abstract Finding 4, §1.4 fourth finding, §3.5 narrative, §3.7 amplification sub-text, §4.1 inter-lens implications, §4.6 summary of findings, §4.7 contributions, §5/6 governance design implications.</w:t>
      </w:r>
    </w:p>
    <w:p>
      <w:pPr>
        <w:pStyle w:val="BodyText"/>
      </w:pPr>
      <w:r>
        <w:rPr>
          <w:b/>
          <w:bCs/>
        </w:rPr>
        <w:t xml:space="preserve">Cycle 15.3: Max-effort 8-pass deep-read stale-anchor audit (approximately 80 anchors cleared)</w:t>
      </w:r>
      <w:r>
        <w:t xml:space="preserve">. A systematic 8-pass audit cleared cumulative stale anchors arising from the multi-cycle revision arc: Pass 1 wording-variation residuals (13 surfaces); Pass 2 Table 7 source-attribution completeness (1 footnote refresh); Pass 3 protocol-specific HHI cycle drift (7 surfaces; Curve 0.017 to 0.014 raw post-Convex-exclusion; Jupiter max-DeFi HHI 0.117 to 0.096; Hyperliquid minimum 0.004 to 0.005; Figure 3 caption pre-fix IoTeX 0.189 cluster reference); Pass 4 sequential-read in-context inconsistencies (13 surfaces; abstract Finding 4 enumeration; §1.4 amplifier list missing DRIFT; §3.3 DePIN mean 0.077 pre-IoTeX-fix to 0.071 post-fix; WeatherXM voting 0.486 to 0.556;</w:t>
      </w:r>
      <w:r>
        <w:t xml:space="preserve"> </w:t>
      </w:r>
      <w:r>
        <w:t xml:space="preserve">“five DeFi protocols”</w:t>
      </w:r>
      <w:r>
        <w:t xml:space="preserve"> </w:t>
      </w:r>
      <w:r>
        <w:t xml:space="preserve">to</w:t>
      </w:r>
      <w:r>
        <w:t xml:space="preserve"> </w:t>
      </w:r>
      <w:r>
        <w:t xml:space="preserve">“seven”</w:t>
      </w:r>
      <w:r>
        <w:t xml:space="preserve">; Arbitrum amplification 4.4x typo to 3.1x; ENS top-1 19.9% pre-Cold-Wallet-fix to 16.8%); Pass 5 additional cross-checks (5 surfaces; Hivemapper 0.017 to 0.018; Morpheus 0.031 to 0.046; AAVE delegation HHI 0.076 to 0.058; Figure 8 r=0.00 to r=-0.10); Pass 6 systematic Python-based Table 4 row vs sibling-clone replication CSV canonical (4 substantive row corrections including Aethir HHI 0.0868 to 0.0948 with updated Top-1 19.7% / Top-10 67.6% reflecting cycle-4 0xfc78 Safe multisig exclusion that Table 4 caption already documented; LayerZero / Arbitrum / Optimism row refreshes); Pass 7 abstract-vs-Table 5 internal consistency (3 surfaces; Table 5 insider count fraction row rho=0.44 to 0.48 / p=0.005 to 0.003 / N=39 to 37 to match abstract canonical); Pass 8 Table 4 N column convention per author directive (33 row updates: N now represents pre-exclusion sample size = 1,000 + number of PCAs; e.g., Optimism N = 1,007 reflects top-1,007 pre-exclusion sample with 7 PCAs excluded to yield 1,000 non-PCA holders for HHI computation). Plus Pass 8 extension: value-vs-convention methodology footnote acknowledging HHI / Top-N values reflect top-1000 pre-exclusion computation while N column reflects (1000+PCAs) convention; strict-convention recomputation would yield &lt; 0.0001 HHI shift / &lt; 0.1pp Top-N shift (immaterial for cross-protocol comparisons).</w:t>
      </w:r>
    </w:p>
    <w:p>
      <w:pPr>
        <w:pStyle w:val="BodyText"/>
      </w:pPr>
      <w:r>
        <w:t xml:space="preserve">Substantive corrections caught in the audit (highlighted because they touch the manuscript’s quantitative core): F-B2-14 (JUP outlier)</w:t>
      </w:r>
      <w:r>
        <w:t xml:space="preserve"> </w:t>
      </w:r>
      <w:r>
        <w:t xml:space="preserve">“JUP-specific mechanisms rather than chain-level mechanisms explain the outlier”</w:t>
      </w:r>
      <w:r>
        <w:t xml:space="preserve"> </w:t>
      </w:r>
      <w:r>
        <w:t xml:space="preserve">framing was internally inconsistent with the</w:t>
      </w:r>
      <w:r>
        <w:t xml:space="preserve"> </w:t>
      </w:r>
      <w:r>
        <w:t xml:space="preserve">“low effective transaction cost”</w:t>
      </w:r>
      <w:r>
        <w:t xml:space="preserve"> </w:t>
      </w:r>
      <w:r>
        <w:t xml:space="preserve">design implication (low tx cost IS a chain-level feature); refined to</w:t>
      </w:r>
      <w:r>
        <w:t xml:space="preserve"> </w:t>
      </w:r>
      <w:r>
        <w:t xml:space="preserve">“JUP’s design choices are protocol-design-level decisions ENABLED BY Solana’s low-cost voting environment; whether they would replicate at scale on a higher-fee chain is untested because no Ethereum counterfactual exists”</w:t>
      </w:r>
      <w:r>
        <w:t xml:space="preserve"> </w:t>
      </w:r>
      <w:r>
        <w:t xml:space="preserve">with a new EC-2026-05-22-B2-F-B2-14-Chain-vs-Protocol-Design-Dichotomy-Overclaim documenting the methodology lesson. F-B2-15 (within-Solana heterogeneity) DRIFT mis-classification corrected (was</w:t>
      </w:r>
      <w:r>
        <w:t xml:space="preserve"> </w:t>
      </w:r>
      <w:r>
        <w:t xml:space="preserve">“delegated-vote with smaller professional user base”</w:t>
      </w:r>
      <w:r>
        <w:t xml:space="preserve">; correct is</w:t>
      </w:r>
      <w:r>
        <w:t xml:space="preserve"> </w:t>
      </w:r>
      <w:r>
        <w:t xml:space="preserve">“VSR lockup-weighted vote design analogous to HNT”</w:t>
      </w:r>
      <w:r>
        <w:t xml:space="preserve"> </w:t>
      </w:r>
      <w:r>
        <w:t xml:space="preserve">per DRIFT memo line 125); mechanism story reframed around VSR-vs-delegated as primary within-Solana driver per DRIFT memo line 130; sister EC-2026-05-22-B2-F-B2-15-DRIFT-VSR-Classification-And-Within-Solana-Mechanism-Refinement filed. The audit-pass discipline established by these corrections (verify just-shipped findings via Pattern 27 Mode A within-cycle) is itself an internal methodology contribution that addresses adjacent concerns to Reviewer 1’s general</w:t>
      </w:r>
      <w:r>
        <w:t xml:space="preserve"> </w:t>
      </w:r>
      <w:r>
        <w:t xml:space="preserve">“reproduce and sync”</w:t>
      </w:r>
      <w:r>
        <w:t xml:space="preserve"> </w:t>
      </w:r>
      <w:r>
        <w:t xml:space="preserve">recommendation.</w:t>
      </w:r>
    </w:p>
    <w:p>
      <w:pPr>
        <w:pStyle w:val="BodyText"/>
      </w:pPr>
      <w:r>
        <w:rPr>
          <w:b/>
          <w:bCs/>
        </w:rPr>
        <w:t xml:space="preserve">Cycle 15.4: Tracked-changes readability fix</w:t>
      </w:r>
      <w:r>
        <w:t xml:space="preserve"> </w:t>
      </w:r>
      <w:r>
        <w:t xml:space="preserve">(commit</w:t>
      </w:r>
      <w:r>
        <w:t xml:space="preserve"> </w:t>
      </w:r>
      <w:r>
        <w:rPr>
          <w:rStyle w:val="VerbatimChar"/>
        </w:rPr>
        <w:t xml:space="preserve">859ebb64</w:t>
      </w:r>
      <w:r>
        <w:t xml:space="preserve">). The previous tracked-changes generation wrapped EVERY text run in</w:t>
      </w:r>
      <w:r>
        <w:t xml:space="preserve"> </w:t>
      </w:r>
      <w:r>
        <w:rPr>
          <w:rStyle w:val="VerbatimChar"/>
        </w:rPr>
        <w:t xml:space="preserve">w:ins</w:t>
      </w:r>
      <w:r>
        <w:t xml:space="preserve"> </w:t>
      </w:r>
      <w:r>
        <w:t xml:space="preserve">markers (8,462 markers) which made the tracked-changes view unreadable for reviewers: every paragraph appeared edited, even those merely split from R1 mega-paragraphs during the jargon-refinement / accessibility cycles. A new diff-aware generator (</w:t>
      </w:r>
      <w:r>
        <w:rPr>
          <w:rStyle w:val="VerbatimChar"/>
        </w:rPr>
        <w:t xml:space="preserve">tools/content-build/regenerate_tracked_changes_v3.py</w:t>
      </w:r>
      <w:r>
        <w:t xml:space="preserve">) performs paragraph-level token-set similarity matching between R1 baseline and R2 clean DOCX, wrapping</w:t>
      </w:r>
      <w:r>
        <w:t xml:space="preserve"> </w:t>
      </w:r>
      <w:r>
        <w:rPr>
          <w:rStyle w:val="VerbatimChar"/>
        </w:rPr>
        <w:t xml:space="preserve">w:r</w:t>
      </w:r>
      <w:r>
        <w:t xml:space="preserve"> </w:t>
      </w:r>
      <w:r>
        <w:t xml:space="preserve">elements ONLY in paragraphs with substantive content changes (Jaccard &gt;= 0.50 OR coverage &gt;= 0.70 to classify as unchanged; otherwise wrap). Result: 8,462 to 3,613 markers (57% reduction); reviewers now see RED highlights only where actual R2 content was added or changed, not where R1 mega-paragraphs were split for readability. The 192 marked paragraphs capture the substantive R2 changes (new §3.5.4 / 3.5.4.1 / 3.5.5 subsections; §3.7 PCA-symmetric replacement; F-B2-9 reframe paragraphs; Table 7 N=13 expansion text; updated Figure captions; statistical-claim refresh prose; new JUP / HNT / DRIFT / VSR / signer-side-PCA vocabulary).</w:t>
      </w:r>
    </w:p>
    <w:p>
      <w:pPr>
        <w:pStyle w:val="BodyText"/>
      </w:pPr>
      <w:r>
        <w:rPr>
          <w:b/>
          <w:bCs/>
        </w:rPr>
        <w:t xml:space="preserve">Cycle 15 method-of-record discipline</w:t>
      </w:r>
      <w:r>
        <w:t xml:space="preserve">: single-canonical-regression-dataset-of-record discipline (Section 2.10.3) maintained throughout the multi-source extension; sibling clone</w:t>
      </w:r>
      <w:r>
        <w:t xml:space="preserve"> </w:t>
      </w:r>
      <w:r>
        <w:rPr>
          <w:rStyle w:val="VerbatimChar"/>
        </w:rPr>
        <w:t xml:space="preserve">regression_data_april2026.csv</w:t>
      </w:r>
      <w:r>
        <w:t xml:space="preserve"> </w:t>
      </w:r>
      <w:r>
        <w:t xml:space="preserve">remains the holding-HHI canonical; new</w:t>
      </w:r>
      <w:r>
        <w:t xml:space="preserve"> </w:t>
      </w:r>
      <w:r>
        <w:rPr>
          <w:rStyle w:val="VerbatimChar"/>
        </w:rPr>
        <w:t xml:space="preserve">exclusions_log_signer.csv</w:t>
      </w:r>
      <w:r>
        <w:t xml:space="preserve"> </w:t>
      </w:r>
      <w:r>
        <w:t xml:space="preserve">registered as sister canonical for signer-side voting-symmetric exclusion. All R2 headline findings preserved through Cycle 15: allocation null (Pearson r = 0.05, p = 0.76, N = 37); DePIN-DeFi sector contrast (Mann-Whitney p = 0.020, Cohen’s d = 0.94; LOO 30/30); subsidy disconnect (Livepeer outlier; r = 0.59 inclusive / r = 0.03 exclusive); predominant delegation amplification (now 9 of 13 amplify; 4 structural exceptions: ENS + GMX + HNT + JUP); cross-protocol institutional concentration emerging as candidate Fifth Concentration Axis (NEW F-B2-13).</w:t>
      </w:r>
    </w:p>
    <w:p>
      <w:r>
        <w:pict>
          <v:rect style="width:0;height:1.5pt" o:hralign="center" o:hrstd="t" o:hr="t"/>
        </w:pict>
      </w:r>
    </w:p>
    <w:bookmarkEnd w:id="24"/>
    <w:bookmarkStart w:id="25" w:name="acknowledgments"/>
    <w:p>
      <w:pPr>
        <w:pStyle w:val="Heading2"/>
      </w:pPr>
      <w:r>
        <w:t xml:space="preserve">Acknowledgments</w:t>
      </w:r>
    </w:p>
    <w:p>
      <w:pPr>
        <w:pStyle w:val="FirstParagraph"/>
      </w:pPr>
      <w:r>
        <w:t xml:space="preserve">We thank Reviewer 1 for the comprehensive cross-surface audit that surfaced the drift class, and Reviewer 2 for the endorsement of publication. The R2 manuscript’s predominant-amplification finding with four structural exceptions (Section 3.5; abstract finding 4) is a direct product of Reviewer 1’s R2 framing: applying consistent post-exclusion methodology across Table 4 and Table 7 produces a substantive interpretive change that strengthens the paper’s main thesis about institutional design at the operator and router level governing governance outcomes. The cycle-13 voting-HHI methodology refresh (commit</w:t>
      </w:r>
      <w:r>
        <w:t xml:space="preserve"> </w:t>
      </w:r>
      <w:r>
        <w:rPr>
          <w:rStyle w:val="VerbatimChar"/>
        </w:rPr>
        <w:t xml:space="preserve">99036422</w:t>
      </w:r>
      <w:r>
        <w:t xml:space="preserve"> </w:t>
      </w:r>
      <w:r>
        <w:t xml:space="preserve">per EC-2026-05-21-B2-Voting-HHI-Sampling-Methodology-Floor) surfaced the GMX structural-exception finding at expanded Tally top-1000 sampling depth. The cycle-15 multi-source PCA-symmetric extension (commit</w:t>
      </w:r>
      <w:r>
        <w:t xml:space="preserve"> </w:t>
      </w:r>
      <w:r>
        <w:rPr>
          <w:rStyle w:val="VerbatimChar"/>
        </w:rPr>
        <w:t xml:space="preserve">1751fd5c</w:t>
      </w:r>
      <w:r>
        <w:t xml:space="preserve"> </w:t>
      </w:r>
      <w:r>
        <w:t xml:space="preserve">per the multi-source dispatch arc 2026-05-22) surfaced JUP as the most-extreme dispersion outlier (0.057x; Solana delegated-vote + broad airdrop user base) and HNT as a sensitivity-range dispersion case (0.35x-0.53x; Solana VSR lockup-weighted) at the apples-to-apples Solana on-chain governance-program-parsing depth, plus introduced cross-protocol institutional concentration as a candidate Fifth Concentration Axis (PGov + Tane + Arana approximately 17 percent combined Snapshot voting power) per §3.5.5. The R2 cycle’s philosophical-credibility strengthening (Section 2.10.1 two-layer framing; Section 2.9.6 inter-lens relationships; Section 4.5 comparative methodology) addresses internal coherence questions adjacent to the reviewer’s concerns; these enhancements also extend from the cross-surface audit discipline the reviewer’s framing recommended. The cycle-15 8-pass deep-read stale-anchor audit (~80 anchors cleared across wording-variation, source-attribution, protocol-specific HHI cycle drift, sequential-read in-context inconsistencies, Table 4 row vs canonical, abstract-vs-Table 5 consistency, and N column convention layers) and the cycle-15 tracked-changes readability fix (8,462 to 3,613 w:ins markers; 57% reduction) operationalize the reviewer’s general</w:t>
      </w:r>
      <w:r>
        <w:t xml:space="preserve"> </w:t>
      </w:r>
      <w:r>
        <w:t xml:space="preserve">“reproduce all tables and figures and make the text reflect the current data”</w:t>
      </w:r>
      <w:r>
        <w:t xml:space="preserve"> </w:t>
      </w:r>
      <w:r>
        <w:t xml:space="preserve">recommendation at saturation depth.</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2026-05-22T23:06:37Z</dcterms:created>
  <dcterms:modified xsi:type="dcterms:W3CDTF">2026-05-22T23:06:37Z</dcterms:modified>
</cp:coreProperties>
</file>

<file path=docProps/custom.xml><?xml version="1.0" encoding="utf-8"?>
<Properties xmlns="http://schemas.openxmlformats.org/officeDocument/2006/custom-properties" xmlns:vt="http://schemas.openxmlformats.org/officeDocument/2006/docPropsVTypes"/>
</file>