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0.016,</w:t>
      </w:r>
      <w:r>
        <w:t xml:space="preserve"> </w:t>
      </w:r>
      <w:r>
        <w:t xml:space="preserve">Cohen’s d = 1.03), and the effect is robust under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2; in Model 3 with the full</w:t>
      </w:r>
      <w:r>
        <w:t xml:space="preserve"> </w:t>
      </w:r>
      <w:r>
        <w:t xml:space="preserve">control set the coefficient is positive and similar in magnitude but</w:t>
      </w:r>
      <w:r>
        <w:t xml:space="preserve"> </w:t>
      </w:r>
      <w:r>
        <w:t xml:space="preserve">falls just above the conventional threshold at p = 0.060; adjusted R²</w:t>
      </w:r>
      <w:r>
        <w:t xml:space="preserve"> </w:t>
      </w:r>
      <w:r>
        <w:t xml:space="preserve">0.15 to 0.19;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1.2x to 11.4x),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0.013 to 0.209: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(113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(0.209)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under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0.94 to 1.14;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[0.020, 0.093] HHI</w:t>
      </w:r>
      <w:r>
        <w:t xml:space="preserve"> </w:t>
      </w:r>
      <w:r>
        <w:t xml:space="preserve">points (Cohen’s d 95% CI: [0.46, 1.74]),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[+0.006, +0.107], strictly above zero.</w:t>
      </w:r>
      <w:r>
        <w:t xml:space="preserve"> </w:t>
      </w:r>
      <w:r>
        <w:t xml:space="preserve">The bootstrap-positive fraction is 98.8%.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 = 0.17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 voting/holding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voting/holding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 (per-iteration p range: 0.007</w:t>
      </w:r>
      <w:r>
        <w:t xml:space="preserve"> </w:t>
      </w:r>
      <w:r>
        <w:t xml:space="preserve">to 0.028; Cohen’s d range: 0.94 to 1.14;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[+0.020,</w:t>
      </w:r>
      <w:r>
        <w:t xml:space="preserve"> </w:t>
      </w:r>
      <w:r>
        <w:t xml:space="preserve">+0.093] HHI points, strictly excluding zero; the Cohen’s d 95%</w:t>
      </w:r>
      <w:r>
        <w:t xml:space="preserve"> </w:t>
      </w:r>
      <w:r>
        <w:t xml:space="preserve">percentile interval is [0.46, 1.74],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0.016;</w:t>
      </w:r>
      <w:r>
        <w:t xml:space="preserve"> </w:t>
      </w:r>
      <w:r>
        <w:t xml:space="preserve">Cohen’s d from 1.02 to 1.03;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 = 1.03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0.94</w:t>
      </w:r>
      <w:r>
        <w:rPr>
          <w:i/>
          <w:iCs/>
        </w:rPr>
        <w:t xml:space="preserve"> </w:t>
      </w:r>
      <w:r>
        <w:rPr>
          <w:i/>
          <w:iCs/>
        </w:rPr>
        <w:t xml:space="preserve">to 1.14.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[0.46, 1.74]).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2026-05-19T07:26:39Z</dcterms:created>
  <dcterms:modified xsi:type="dcterms:W3CDTF">2026-05-19T07:26:39Z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