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is robust under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2; in Model 3 with the full</w:t>
        </w:r>
        <w:r>
          <w:t xml:space="preserve"> </w:t>
        </w:r>
        <w:r>
          <w:t xml:space="preserve">control set the coefficient is positive and similar in magnitude but</w:t>
        </w:r>
        <w:r>
          <w:t xml:space="preserve"> </w:t>
        </w:r>
        <w:r>
          <w:t xml:space="preserve">falls just above the conventional threshold at p = 0.060; adjusted R²</w:t>
        </w:r>
        <w:r>
          <w:t xml:space="preserve"> </w:t>
        </w:r>
        <w:r>
          <w:t xml:space="preserve">0.15 to 0.19;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Three protocols with near-identical subsidy ratios exhibit governance</w:t>
        </w:r>
        <w:r>
          <w:t xml:space="preserve"> </w:t>
        </w:r>
        <w:r>
          <w:t xml:space="preserve">HHI spanning 0.013 to 0.209: financial sustainability is neither</w:t>
        </w:r>
        <w:r>
          <w:t xml:space="preserve"> </w:t>
        </w:r>
        <w:r>
          <w:t xml:space="preserve">necessary nor sufficient for governance decentralization (Section 3.4).</w:t>
        </w:r>
        <w:r>
          <w:t xml:space="preserve"> </w:t>
        </w:r>
        <w:r>
          <w:t xml:space="preserve">Governance concentration is a secondary market outcome, shaped by</w:t>
        </w:r>
        <w:r>
          <w:t xml:space="preserve"> </w:t>
        </w:r>
        <w:r>
          <w:t xml:space="preserve">post-distribution trading and accumulation dynamics that neither</w:t>
        </w:r>
        <w:r>
          <w:t xml:space="preserve"> </w:t>
        </w:r>
        <w:r>
          <w:t xml:space="preserve">allocation design nor protocol financial characteristics predict.</w:t>
        </w:r>
      </w:ins>
    </w:p>
    <w:p>
      <w:ins w:id="10017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8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19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0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1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2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3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4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5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6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7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8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29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5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6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7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8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39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0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1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2" w:author="R2 Revision" w:date="2026-05-19T00:00:00Z">
        <w:pPr>
          <w:pStyle w:val="Heading3"/>
        </w:pPr>
        <w:r>
          <w:t xml:space="preserve">1.4.1 Scope</w:t>
        </w:r>
      </w:ins>
    </w:p>
    <w:p>
      <w:ins w:id="10043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4" w:author="R2 Revision" w:date="2026-05-19T00:00:00Z">
        <w:pPr>
          <w:pStyle w:val="Heading3"/>
        </w:pPr>
        <w:r>
          <w:t xml:space="preserve">1.4.2 Assumptions</w:t>
        </w:r>
      </w:ins>
    </w:p>
    <w:p>
      <w:ins w:id="10045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6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limitations"/>
    <w:p>
      <w:ins w:id="10048" w:author="R2 Revision" w:date="2026-05-19T00:00:00Z">
        <w:pPr>
          <w:pStyle w:val="Heading3"/>
        </w:pPr>
        <w:r>
          <w:t xml:space="preserve">1.4.3 Limitations</w:t>
        </w:r>
      </w:ins>
    </w:p>
    <w:p>
      <w:ins w:id="10049" w:author="R2 Revision" w:date="2026-05-19T00:00:00Z">
        <w:pPr>
          <w:pStyle w:val="FirstParagraph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risks.</w:t>
        </w:r>
      </w:ins>
    </w:p>
    <w:p>
      <w:ins w:id="10050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mechanisms.</w:t>
        </w:r>
      </w:ins>
    </w:p>
    <w:p>
      <w:ins w:id="10051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ins w:id="10052" w:author="R2 Revision" w:date="2026-05-19T00:00:00Z">
        <w:pPr>
          <w:pStyle w:val="Heading2"/>
        </w:pPr>
        <w:r>
          <w:t xml:space="preserve">1.5 Paper Outline</w:t>
        </w:r>
      </w:ins>
    </w:p>
    <w:p>
      <w:ins w:id="10053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4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5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6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7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58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59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0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1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2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3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4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5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6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7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68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69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0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1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2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3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4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5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6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7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78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79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0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1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2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3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4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5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6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7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88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89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0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1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2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3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4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5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6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7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098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099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0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1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2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3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4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5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6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7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08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09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0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1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2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3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5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6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7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18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19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0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1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2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3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4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6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7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28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29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0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1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3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5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7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39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0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1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3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5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6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7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48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7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0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2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3" w:author="R2 Revision" w:date="2026-05-19T00:00:00Z">
        <w:pPr>
          <w:pStyle w:val="Heading3"/>
        </w:pPr>
        <w:r>
          <w:t xml:space="preserve">2.10.1 Approach</w:t>
        </w:r>
      </w:ins>
    </w:p>
    <w:p>
      <w:ins w:id="10184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5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6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7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88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89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0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1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3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4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5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6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7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198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199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0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1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2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3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4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5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6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7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0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0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1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2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3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4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5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6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7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58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59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0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1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2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7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68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69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5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22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76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7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78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7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2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3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4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5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6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86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6" w:author="R2 Revision" w:date="2026-05-19T00:00:00Z">
        <w:pPr>
          <w:pStyle w:val="BodyText"/>
        </w:pPr>
        <w:r>
          <w:t xml:space="preserve">Table 4 notes:</w:t>
        </w:r>
      </w:ins>
    </w:p>
    <w:p>
      <w:ins w:id="10627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28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29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0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1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2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3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4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5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6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7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3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39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0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1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2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3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4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5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3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4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5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6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48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49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0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1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52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3" w:author="R2 Revision" w:date="2026-05-19T00:00:00Z">
              <w:pPr>
                <w:pStyle w:val="Compact"/>
              </w:pPr>
            </w:ins>
          </w:p>
        </w:tc>
        <w:tc>
          <w:tcPr/>
          <w:p>
            <w:ins w:id="107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7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59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0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</w:pP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</w:pP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</w:pP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</w:pP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7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1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2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3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4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5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7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 voting/holding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voting/holding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28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29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0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1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2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8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0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1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2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3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4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5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6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7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08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09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0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1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2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3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4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15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6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7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18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19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0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1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3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4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5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6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7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28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29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0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1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33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35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36" w:author="R2 Revision" w:date="2026-05-19T00:00:00Z">
        <w:pPr>
          <w:pStyle w:val="Heading2"/>
        </w:pPr>
        <w:r>
          <w:t xml:space="preserve">4.1 Design Hypotheses</w:t>
        </w:r>
      </w:ins>
    </w:p>
    <w:p>
      <w:ins w:id="10937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38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39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0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42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3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4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5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6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47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48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49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0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51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52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3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4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5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6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57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58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59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0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61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62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3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4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5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67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68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69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0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71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72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3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4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79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0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81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82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83" w:author="R2 Revision" w:date="2026-05-19T00:00:00Z">
        <w:pPr>
          <w:pStyle w:val="Heading2"/>
        </w:pPr>
        <w:r>
          <w:t xml:space="preserve">4.7 Contributions</w:t>
        </w:r>
      </w:ins>
    </w:p>
    <w:p>
      <w:ins w:id="10984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88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89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0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91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-1"/>
    <w:p>
      <w:ins w:id="10992" w:author="R2 Revision" w:date="2026-05-19T00:00:00Z">
        <w:pPr>
          <w:pStyle w:val="Heading2"/>
        </w:pPr>
        <w:r>
          <w:t xml:space="preserve">4.8 Limitations</w:t>
        </w:r>
      </w:ins>
    </w:p>
    <w:p>
      <w:ins w:id="10993" w:author="R2 Revision" w:date="2026-05-19T00:00:00Z">
        <w:pPr>
          <w:pStyle w:val="FirstParagraph"/>
        </w:pPr>
        <w:r>
          <w:t xml:space="preserve">The evidence carries several limitations. The governance concentration</w:t>
        </w:r>
        <w:r>
          <w:t xml:space="preserve"> </w:t>
        </w:r>
        <w:r>
          <w:t xml:space="preserve">analysis is a March 2026 snapshot: tracking concentration over time</w:t>
        </w:r>
        <w:r>
          <w:t xml:space="preserve"> </w:t>
        </w:r>
        <w:r>
          <w:t xml:space="preserve">would reveal whether protocols are becoming more or less concentrated</w:t>
        </w:r>
        <w:r>
          <w:t xml:space="preserve"> </w:t>
        </w:r>
        <w:r>
          <w:t xml:space="preserve">and strengthen causal claims. A single scorer has applied the scoring</w:t>
        </w:r>
        <w:r>
          <w:t xml:space="preserve"> </w:t>
        </w:r>
        <w:r>
          <w:t xml:space="preserve">rubric; inter-rater reliability testing with independent scorers is</w:t>
        </w:r>
        <w:r>
          <w:t xml:space="preserve"> </w:t>
        </w:r>
        <w:r>
          <w:t xml:space="preserve">needed before the rubric can claim measurement validity beyond its</w:t>
        </w:r>
        <w:r>
          <w:t xml:space="preserve"> </w:t>
        </w:r>
        <w:r>
          <w:t xml:space="preserve">current proof-of-concept status.</w:t>
        </w:r>
      </w:ins>
    </w:p>
    <w:p>
      <w:ins w:id="1099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099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099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099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099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bookmarkEnd w:id="119"/>
    <w:bookmarkStart w:id="121" w:name="future-research"/>
    <w:p>
      <w:ins w:id="11000" w:author="R2 Revision" w:date="2026-05-19T00:00:00Z">
        <w:pPr>
          <w:pStyle w:val="Heading2"/>
        </w:pPr>
        <w:r>
          <w:t xml:space="preserve">4.9 Future Research</w:t>
        </w:r>
      </w:ins>
    </w:p>
    <w:p>
      <w:ins w:id="11001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02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3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4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05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06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07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08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09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10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11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12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(86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13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14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15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16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17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18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19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20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21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22" w:author="R2 Revision" w:date="2026-05-19T00:00:00Z">
        <w:pPr>
          <w:pStyle w:val="Heading1"/>
        </w:pPr>
        <w:r>
          <w:t xml:space="preserve">Acknowledgments</w:t>
        </w:r>
      </w:ins>
    </w:p>
    <w:p>
      <w:ins w:id="11023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24" w:author="R2 Revision" w:date="2026-05-19T00:00:00Z">
        <w:pPr>
          <w:pStyle w:val="Heading1"/>
        </w:pPr>
        <w:r>
          <w:t xml:space="preserve">References</w:t>
        </w:r>
      </w:ins>
    </w:p>
    <w:p>
      <w:ins w:id="11025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26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27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28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29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30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31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32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33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34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35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36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37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38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39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40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41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42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43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44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45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46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47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48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49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50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51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52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53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54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55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56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57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58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59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60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61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62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63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64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65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66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67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68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69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70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71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72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73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74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75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76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77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78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79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80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81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82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83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84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85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86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87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88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89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90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91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92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93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94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095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096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097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098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099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00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01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02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03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04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05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06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07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08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09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10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11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12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13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14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15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16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17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18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19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20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21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22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23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24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25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26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27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28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29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30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31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2026-05-19T07:26:39Z</dcterms:created>
  <dcterms:modified xsi:type="dcterms:W3CDTF">2026-05-19T07:26:39Z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