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1.03),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1.2x to 11.4x),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0.013 to 0.209: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(0.209) reported here reflects the R2 recomputation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May 2026 Dune top-1000 pull (holders_ATH_2026-05-17.csv); the</w:t>
      </w:r>
      <w:r>
        <w:rPr>
          <w:i/>
          <w:iCs/>
        </w:rPr>
        <w:t xml:space="preserve"> </w:t>
      </w:r>
      <w:r>
        <w:rPr>
          <w:i/>
          <w:iCs/>
        </w:rPr>
        <w:t xml:space="preserve">R1 footnote value of 0.168 was based on the March 2026 cascade</w:t>
      </w:r>
      <w:r>
        <w:rPr>
          <w:i/>
          <w:iCs/>
        </w:rPr>
        <w:t xml:space="preserve"> </w:t>
      </w:r>
      <w:r>
        <w:rPr>
          <w:i/>
          <w:iCs/>
        </w:rPr>
        <w:t xml:space="preserve">snapshot. The R2 value (0.209) supersedes earlier interim estimates</w:t>
      </w:r>
      <w:r>
        <w:rPr>
          <w:i/>
          <w:iCs/>
        </w:rPr>
        <w:t xml:space="preserve"> </w:t>
      </w:r>
      <w:r>
        <w:rPr>
          <w:i/>
          <w:iCs/>
        </w:rPr>
        <w:t xml:space="preserve">(including 0.153 cited in earlier R2 drafts) per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0.085 vs. 0.031; Mann-Whitney p = 0.016,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0.004.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 voting/holding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voting/holding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0.027 to 0.016; Cohen’s d = 1.02 to 1.10;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0.016, Cohen’s</w:t>
      </w:r>
      <w:r>
        <w:t xml:space="preserve"> </w:t>
      </w:r>
      <w:r>
        <w:t xml:space="preserve">d = 1.03;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2026-05-19T06:46:54Z</dcterms:created>
  <dcterms:modified xsi:type="dcterms:W3CDTF">2026-05-19T06:46:54Z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