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(DePIN), DeFi, infrastructure, and</w:t>
        </w:r>
        <w:r>
          <w:t xml:space="preserve"> </w:t>
        </w:r>
        <w:r>
          <w:t xml:space="preserve">social token categories documents that team and investor allocation at</w:t>
        </w:r>
        <w:r>
          <w:t xml:space="preserve"> </w:t>
        </w:r>
        <w:r>
          <w:t xml:space="preserve">launch is uninformative about post-distribution governance concentration</w:t>
        </w:r>
        <w:r>
          <w:t xml:space="preserve"> </w:t>
        </w:r>
        <w:r>
          <w:t xml:space="preserve">(Pearson r = 0.17, p = 0.32, N = 37): protocols with generous community</w:t>
        </w:r>
        <w:r>
          <w:t xml:space="preserve"> </w:t>
        </w:r>
        <w:r>
          <w:t xml:space="preserve">distributions exhibit concentration patterns similar to those with heavy</w:t>
        </w:r>
        <w:r>
          <w:t xml:space="preserve"> </w:t>
        </w:r>
        <w:r>
          <w:t xml:space="preserve">insider allocations. Hyperliquid (zero venture capital, 31% community</w:t>
        </w:r>
        <w:r>
          <w:t xml:space="preserve"> </w:t>
        </w:r>
        <w:r>
          <w:t xml:space="preserve">airdrop) shows the lowest DeFi-subsample Herfindahl-Hirschman Index</w:t>
        </w:r>
        <w:r>
          <w:t xml:space="preserve"> </w:t>
        </w:r>
        <w:r>
          <w:t xml:space="preserve">(HHI) of 0.005, but the broader null holds across allocation designs.</w:t>
        </w:r>
        <w:r>
          <w:t xml:space="preserve"> </w:t>
        </w:r>
        <w:r>
          <w:t xml:space="preserve">Evidence is consistent with post-distribution market dynamics shaping</w:t>
        </w:r>
        <w:r>
          <w:t xml:space="preserve"> </w:t>
        </w:r>
        <w:r>
          <w:t xml:space="preserve">concentration 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 more</w:t>
        </w:r>
        <w:r>
          <w:t xml:space="preserve"> </w:t>
        </w:r>
        <w:r>
          <w:t xml:space="preserve">insider wallets in their top-holder sets exhibit higher concentration</w:t>
        </w:r>
        <w:r>
          <w:t xml:space="preserve"> </w:t>
        </w:r>
        <w:r>
          <w:t xml:space="preserve">among non-insider holders (Spearman rho = 0.54, p = 0.001, N = 34):</w:t>
        </w:r>
        <w:r>
          <w:t xml:space="preserve"> </w:t>
        </w:r>
        <w:r>
          <w:t xml:space="preserve">insider-heavy protocols develop concentrated governance ecosystems, not</w:t>
        </w:r>
        <w:r>
          <w:t xml:space="preserve"> </w:t>
        </w:r>
        <w:r>
          <w:t xml:space="preserve">merely concentrated insider positions. Second, sector membership</w:t>
        </w:r>
        <w:r>
          <w:t xml:space="preserve"> </w:t>
        </w:r>
        <w:r>
          <w:t xml:space="preserve">predicts concentration: DePIN exceeds DeFi (Mann-Whitney p = 0.016,</w:t>
        </w:r>
        <w:r>
          <w:t xml:space="preserve"> </w:t>
        </w:r>
        <w:r>
          <w:t xml:space="preserve">Cohen’s d = 1.03), and the effect survives across three nested OLS</w:t>
        </w:r>
        <w:r>
          <w:t xml:space="preserve"> </w:t>
        </w:r>
        <w:r>
          <w:t xml:space="preserve">specifications adding protocol age, log fully diluted valuation (FDV),</w:t>
        </w:r>
        <w:r>
          <w:t xml:space="preserve"> </w:t>
        </w:r>
        <w:r>
          <w:t xml:space="preserve">and initial insider allocation as successive controls (sector</w:t>
        </w:r>
        <w:r>
          <w:t xml:space="preserve"> </w:t>
        </w:r>
        <w:r>
          <w:t xml:space="preserve">coefficient p &lt; 0.05 in Models 1 and 2, borderline at p = 0.050 in</w:t>
        </w:r>
        <w:r>
          <w:t xml:space="preserve"> </w:t>
        </w:r>
        <w:r>
          <w:t xml:space="preserve">Model 3 with the full control set; adjusted R² 0.14 to 0.17; Table 6).</w:t>
        </w:r>
        <w:r>
          <w:t xml:space="preserve"> </w:t>
        </w:r>
        <w:r>
          <w:t xml:space="preserve">Third, on-chain subsidy intensity correlates with concentration in</w:t>
        </w:r>
        <w:r>
          <w:t xml:space="preserve"> </w:t>
        </w:r>
        <w:r>
          <w:t xml:space="preserve">levels (r = 0.57, p = 0.008, N = 20) but entirely through Livepeer</w:t>
        </w:r>
        <w:r>
          <w:t xml:space="preserve"> </w:t>
        </w:r>
        <w:r>
          <w:t xml:space="preserve">(88.5x subsidy); excluding Livepeer yields r = 0.11, p = 0.65. Fourth,</w:t>
        </w:r>
        <w:r>
          <w:t xml:space="preserve"> </w:t>
        </w:r>
        <w:r>
          <w:t xml:space="preserve">delegation concentrates governance power above the level measured from</w:t>
        </w:r>
        <w:r>
          <w:t xml:space="preserve"> </w:t>
        </w:r>
        <w:r>
          <w:t xml:space="preserve">token holdings in nine of ten protocols sampled (voting-power HHI</w:t>
        </w:r>
        <w:r>
          <w:t xml:space="preserve"> </w:t>
        </w:r>
        <w:r>
          <w:t xml:space="preserve">exceeds holding HHI by factors of 1.2x to 11.4x),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holders systematically delegate to a broad community-delegate set).</w:t>
        </w:r>
        <w:r>
          <w:t xml:space="preserve"> </w:t>
        </w:r>
        <w:r>
          <w:t xml:space="preserve">Two further vote-escrowed protocols (Curve and Balancer) show extreme</w:t>
        </w:r>
        <w:r>
          <w:t xml:space="preserve"> </w:t>
        </w:r>
        <w:r>
          <w:t xml:space="preserve">amplification (15x and 21x) under ve-token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non-ve-token sample is not predicted by sector or governance venue</w:t>
        </w:r>
        <w:r>
          <w:t xml:space="preserve"> </w:t>
        </w:r>
        <w:r>
          <w:t xml:space="preserve">(Tally on-chain versus Snapshot off-chain), consistent with</w:t>
        </w:r>
        <w:r>
          <w:t xml:space="preserve"> </w:t>
        </w:r>
        <w:r>
          <w:t xml:space="preserve">institutional design at the delegate-program level governing both the</w:t>
        </w:r>
        <w:r>
          <w:t xml:space="preserve"> </w:t>
        </w:r>
        <w:r>
          <w:t xml:space="preserve">direction and magnitude of delegation’s 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(Gini, dispersion across all holders) and governance concentration (HHI,</w:t>
        </w:r>
        <w:r>
          <w:t xml:space="preserve"> </w:t>
        </w:r>
        <w:r>
          <w:t xml:space="preserve">sum of squared top-holder shares) capture distinct properties of the</w:t>
        </w:r>
        <w:r>
          <w:t xml:space="preserve"> </w:t>
        </w:r>
        <w:r>
          <w:t xml:space="preserve">same holder set. Inequality is severe in every protocol (Gini 0.52 to</w:t>
        </w:r>
        <w:r>
          <w:t xml:space="preserve"> </w:t>
        </w:r>
        <w:r>
          <w:t xml:space="preserve">0.99), while concentration varies across two orders of magnitude (HHI</w:t>
        </w:r>
        <w:r>
          <w:t xml:space="preserve"> </w:t>
        </w:r>
        <w:r>
          <w:t xml:space="preserve">0.005 to 0.199); the moderate correlation (r = 0.51) confirms that</w:t>
        </w:r>
        <w:r>
          <w:t xml:space="preserve"> </w:t>
        </w:r>
        <w:r>
          <w:t xml:space="preserve">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Three protocols with near-identical subsidy ratios exhibit governance</w:t>
        </w:r>
        <w:r>
          <w:t xml:space="preserve"> </w:t>
        </w:r>
        <w:r>
          <w:t xml:space="preserve">HHI spanning 0.013 to 0.209: financial sustainability is neither</w:t>
        </w:r>
        <w:r>
          <w:t xml:space="preserve"> </w:t>
        </w:r>
        <w:r>
          <w:t xml:space="preserve">necessary nor sufficient for governance decentralization (Section 3.4).</w:t>
        </w:r>
        <w:r>
          <w:t xml:space="preserve"> </w:t>
        </w:r>
        <w:r>
          <w:t xml:space="preserve">Governance concentration is a secondary market outcome, shaped by</w:t>
        </w:r>
        <w:r>
          <w:t xml:space="preserve"> </w:t>
        </w:r>
        <w:r>
          <w:t xml:space="preserve">post-distribution trading and accumulation dynamics that neither</w:t>
        </w:r>
        <w:r>
          <w:t xml:space="preserve"> </w:t>
        </w:r>
        <w:r>
          <w:t xml:space="preserve">allocation design nor protocol financial characteristics predict.</w:t>
        </w:r>
      </w:ins>
    </w:p>
    <w:p>
      <w:ins w:id="10017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8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69</w:t>
        </w:r>
        <w:r>
          <w:t xml:space="preserve"> </w:t>
        </w:r>
        <w:r>
          <w:t xml:space="preserve">protocol-controlled addresses (staking contracts, exchange custodians,</w:t>
        </w:r>
        <w:r>
          <w:t xml:space="preserve"> </w:t>
        </w:r>
        <w:r>
          <w:t xml:space="preserve">vesting locks, and protocol treasuries) from HHI computation, and test</w:t>
        </w:r>
        <w:r>
          <w:t xml:space="preserve"> </w:t>
        </w:r>
        <w:r>
          <w:t xml:space="preserve">every available cross-sectional predictor of concentration using both</w:t>
        </w:r>
        <w:r>
          <w:t xml:space="preserve"> </w:t>
        </w:r>
        <w:r>
          <w:t xml:space="preserve">parametric and rank-based methods.</w:t>
        </w:r>
      </w:ins>
    </w:p>
    <w:p>
      <w:ins w:id="10019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The two protocols previously cited as</w:t>
        </w:r>
        <w:r>
          <w:t xml:space="preserve"> </w:t>
        </w:r>
        <w:r>
          <w:t xml:space="preserve">showing dispersion (Uniswap, Optimism) do so only when holding HHI is</w:t>
        </w:r>
        <w:r>
          <w:t xml:space="preserve"> </w:t>
        </w:r>
        <w:r>
          <w:t xml:space="preserve">measured without excluding addresses that cannot vote, such as burn</w:t>
        </w:r>
        <w:r>
          <w:t xml:space="preserve"> </w:t>
        </w:r>
        <w:r>
          <w:t xml:space="preserve">wallets and foundation treasuries; once those exclusions are applied</w:t>
        </w:r>
        <w:r>
          <w:t xml:space="preserve"> </w:t>
        </w:r>
        <w:r>
          <w:t xml:space="preserve">consistently with Table 4, both protocols join the amplification</w:t>
        </w:r>
        <w:r>
          <w:t xml:space="preserve"> </w:t>
        </w:r>
        <w:r>
          <w:t xml:space="preserve">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0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secure)</w:t>
        </w:r>
        <w:r>
          <w:t xml:space="preserve"> </w:t>
        </w:r>
        <w:r>
          <w:t xml:space="preserve">from the operational mechanism Layer 2 (what is observable in protocol</w:t>
        </w:r>
        <w:r>
          <w:t xml:space="preserve"> </w:t>
        </w:r>
        <w:r>
          <w:t xml:space="preserve">design and scored in Table 1).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(burn destinations;</w:t>
        </w:r>
        <w:r>
          <w:t xml:space="preserve"> </w:t>
        </w:r>
        <w:r>
          <w:t xml:space="preserve">foundation and treasury custody; staking-aggregation contracts; bridge</w:t>
        </w:r>
        <w:r>
          <w:t xml:space="preserve"> </w:t>
        </w:r>
        <w:r>
          <w:t xml:space="preserve">custody and migration addresses), supporting uniform replication and</w:t>
        </w:r>
        <w:r>
          <w:t xml:space="preserve"> </w:t>
        </w:r>
        <w:r>
          <w:t xml:space="preserve">extension to other token-governance datasets.</w:t>
        </w:r>
      </w:ins>
    </w:p>
    <w:p>
      <w:ins w:id="10021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2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3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4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5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6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7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8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29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5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6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7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8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39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0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1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2" w:author="R2 Revision" w:date="2026-05-19T00:00:00Z">
        <w:pPr>
          <w:pStyle w:val="Heading3"/>
        </w:pPr>
        <w:r>
          <w:t xml:space="preserve">1.4.1 Scope</w:t>
        </w:r>
      </w:ins>
    </w:p>
    <w:p>
      <w:ins w:id="10043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4" w:author="R2 Revision" w:date="2026-05-19T00:00:00Z">
        <w:pPr>
          <w:pStyle w:val="Heading3"/>
        </w:pPr>
        <w:r>
          <w:t xml:space="preserve">1.4.2 Assumptions</w:t>
        </w:r>
      </w:ins>
    </w:p>
    <w:p>
      <w:ins w:id="10045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6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limitations"/>
    <w:p>
      <w:ins w:id="10048" w:author="R2 Revision" w:date="2026-05-19T00:00:00Z">
        <w:pPr>
          <w:pStyle w:val="Heading3"/>
        </w:pPr>
        <w:r>
          <w:t xml:space="preserve">1.4.3 Limitations</w:t>
        </w:r>
      </w:ins>
    </w:p>
    <w:p>
      <w:ins w:id="10049" w:author="R2 Revision" w:date="2026-05-19T00:00:00Z">
        <w:pPr>
          <w:pStyle w:val="FirstParagraph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risks.</w:t>
        </w:r>
      </w:ins>
    </w:p>
    <w:p>
      <w:ins w:id="10050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mechanisms.</w:t>
        </w:r>
      </w:ins>
    </w:p>
    <w:p>
      <w:ins w:id="10051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ins w:id="10052" w:author="R2 Revision" w:date="2026-05-19T00:00:00Z">
        <w:pPr>
          <w:pStyle w:val="Heading2"/>
        </w:pPr>
        <w:r>
          <w:t xml:space="preserve">1.5 Paper Outline</w:t>
        </w:r>
      </w:ins>
    </w:p>
    <w:p>
      <w:ins w:id="10053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4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5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6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7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58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59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0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1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2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3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linked</w:t>
        </w:r>
        <w:r>
          <w:t xml:space="preserve"> </w:t>
        </w:r>
        <w:r>
          <w:t xml:space="preserve">to usage 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4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5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6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7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68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mining, staking rewards (Schär, 2021), and</w:t>
        </w:r>
        <w:r>
          <w:t xml:space="preserve"> </w:t>
        </w:r>
        <w:r>
          <w:t xml:space="preserve">user rebates, designed to bootstrap two-sided markets. A key controversy</w:t>
        </w:r>
        <w:r>
          <w:t xml:space="preserve"> </w:t>
        </w:r>
        <w:r>
          <w:t xml:space="preserve">is whether these incentives generate durable adoption or merely</w:t>
        </w:r>
        <w:r>
          <w:t xml:space="preserve"> </w:t>
        </w:r>
        <w:r>
          <w:t xml:space="preserve">transient participation driven by extrinsic rewards.</w:t>
        </w:r>
      </w:ins>
    </w:p>
    <w:p>
      <w:ins w:id="10069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0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1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2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A major challenge is that</w:t>
        </w:r>
        <w:r>
          <w:t xml:space="preserve"> </w:t>
        </w:r>
        <w:r>
          <w:t xml:space="preserve">token-based governance can produce concentrated influence (Barbereau et</w:t>
        </w:r>
        <w:r>
          <w:t xml:space="preserve"> </w:t>
        </w:r>
        <w:r>
          <w:t xml:space="preserve">al., 2023) -</w:t>
        </w:r>
        <w:r>
          <w:t xml:space="preserve"> </w:t>
        </w:r>
        <w:r>
          <w:t xml:space="preserve">“whales,”</w:t>
        </w:r>
        <w:r>
          <w:t xml:space="preserve"> </w:t>
        </w:r>
        <w:r>
          <w:t xml:space="preserve">delegates, or insiders, leading to outcomes that</w:t>
        </w:r>
        <w:r>
          <w:t xml:space="preserve"> </w:t>
        </w:r>
        <w:r>
          <w:t xml:space="preserve">are 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3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4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3 to 6 times delegation amplification</w:t>
        </w:r>
        <w:r>
          <w:t xml:space="preserve"> </w:t>
        </w:r>
        <w:r>
          <w:t xml:space="preserve">ratios documented in Section 3.5 are consistent with this clumping</w:t>
        </w:r>
        <w:r>
          <w:t xml:space="preserve"> </w:t>
        </w:r>
        <w:r>
          <w:t xml:space="preserve">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5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6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7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78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79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0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1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2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3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4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5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6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performance). The result is a</w:t>
        </w:r>
        <w:r>
          <w:t xml:space="preserve"> </w:t>
        </w:r>
        <w:r>
          <w:t xml:space="preserve">system that resembles public infrastructure governance more than</w:t>
        </w:r>
        <w:r>
          <w:t xml:space="preserve"> </w:t>
        </w:r>
        <w:r>
          <w:t xml:space="preserve">application monetization.</w:t>
        </w:r>
      </w:ins>
    </w:p>
    <w:p>
      <w:ins w:id="10087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bootstrap supply-side</w:t>
        </w:r>
        <w:r>
          <w:t xml:space="preserve"> </w:t>
        </w:r>
        <w:r>
          <w:t xml:space="preserve">hardware deployment.</w:t>
        </w:r>
      </w:ins>
    </w:p>
    <w:p>
      <w:ins w:id="10088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89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0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1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2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3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4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5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6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7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Kant’s (1785/1997) publicity principle holds that political</w:t>
        </w:r>
        <w:r>
          <w:t xml:space="preserve"> </w:t>
        </w:r>
        <w:r>
          <w:t xml:space="preserve">maxims must be capable of public avowal and that coercion (slashing,</w:t>
        </w:r>
        <w:r>
          <w:t xml:space="preserve"> </w:t>
        </w:r>
        <w:r>
          <w:t xml:space="preserve">bans, parameter changes) is legitimate only when grounded in transparent</w:t>
        </w:r>
        <w:r>
          <w:t xml:space="preserve"> </w:t>
        </w:r>
        <w:r>
          <w:t xml:space="preserve">and non-arbitrary rules. Republican freedom as non-domination (Pettit</w:t>
        </w:r>
        <w:r>
          <w:t xml:space="preserve"> </w:t>
        </w:r>
        <w:r>
          <w:t xml:space="preserve">1997, building on Skinner’s 1998 historical recovery of the neo-Roman</w:t>
        </w:r>
        <w:r>
          <w:t xml:space="preserve"> </w:t>
        </w:r>
        <w:r>
          <w:t xml:space="preserve">tradition; Stanford Encyclopedia of Philosophy 2025) reframes</w:t>
        </w:r>
        <w:r>
          <w:t xml:space="preserve"> </w:t>
        </w:r>
        <w:r>
          <w:t xml:space="preserve">legitimacy as protection against arbitrary power rather than mere</w:t>
        </w:r>
        <w:r>
          <w:t xml:space="preserve"> </w:t>
        </w:r>
        <w:r>
          <w:t xml:space="preserve">non-interference. Pettit positions non-domination as orthogonal to</w:t>
        </w:r>
        <w:r>
          <w:t xml:space="preserve"> </w:t>
        </w:r>
        <w:r>
          <w:t xml:space="preserve">Berlin’s (1958) negative and positive liberty: it is neither pure</w:t>
        </w:r>
        <w:r>
          <w:t xml:space="preserve"> </w:t>
        </w:r>
        <w:r>
          <w:t xml:space="preserve">non-interference (Berlin’s negative liberty, which fails to capture</w:t>
        </w:r>
        <w:r>
          <w:t xml:space="preserve"> </w:t>
        </w:r>
        <w:r>
          <w:t xml:space="preserve">the freedom-cost of being subject to arbitrary power even when</w:t>
        </w:r>
        <w:r>
          <w:t xml:space="preserve"> </w:t>
        </w:r>
        <w:r>
          <w:t xml:space="preserve">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 The capability approach (Sen, 1999;</w:t>
        </w:r>
        <w:r>
          <w:t xml:space="preserve"> </w:t>
        </w:r>
        <w:r>
          <w:t xml:space="preserve">Nussbaum, 2011) evaluates social arrangements not by aggregate output</w:t>
        </w:r>
        <w:r>
          <w:t xml:space="preserve"> </w:t>
        </w:r>
        <w:r>
          <w:t xml:space="preserve">but by the substantive opportunities individuals have to achieve valued</w:t>
        </w:r>
        <w:r>
          <w:t xml:space="preserve"> </w:t>
        </w:r>
        <w:r>
          <w:t xml:space="preserve">doings and beings, a frame Yanaka and Heeks (2023) extend to digital</w:t>
        </w:r>
        <w:r>
          <w:t xml:space="preserve"> </w:t>
        </w:r>
        <w:r>
          <w:t xml:space="preserve">platform labor and which applies directly to DePIN operators whose</w:t>
        </w:r>
        <w:r>
          <w:t xml:space="preserve"> </w:t>
        </w:r>
        <w:r>
          <w:t xml:space="preserve">hardware lock-in constrains exit options. Hayek’s (1945)</w:t>
        </w:r>
        <w:r>
          <w:t xml:space="preserve"> </w:t>
        </w:r>
        <w:r>
          <w:t xml:space="preserve">“Use of</w:t>
        </w:r>
        <w:r>
          <w:t xml:space="preserve"> </w:t>
        </w:r>
        <w:r>
          <w:t xml:space="preserve">Knowledge in Society”</w:t>
        </w:r>
        <w:r>
          <w:t xml:space="preserve"> </w:t>
        </w:r>
        <w:r>
          <w:t xml:space="preserve">argues that dispersed local information cannot be</w:t>
        </w:r>
        <w:r>
          <w:t xml:space="preserve"> </w:t>
        </w:r>
        <w:r>
          <w:t xml:space="preserve">replicated by centralized planning, providing both a critique of static</w:t>
        </w:r>
        <w:r>
          <w:t xml:space="preserve"> </w:t>
        </w:r>
        <w:r>
          <w:t xml:space="preserve">parameter-setting and a positive case for governance designs that</w:t>
        </w:r>
        <w:r>
          <w:t xml:space="preserve"> </w:t>
        </w:r>
        <w:r>
          <w:t xml:space="preserve">incorporate edge-level signals.</w:t>
        </w:r>
      </w:ins>
    </w:p>
    <w:p>
      <w:ins w:id="10098" w:author="R2 Revision" w:date="2026-05-19T00:00:00Z">
        <w:pPr>
          <w:pStyle w:val="BodyText"/>
        </w:pPr>
        <w:r>
          <w:t xml:space="preserve">A fifth tradition addresses the data-and-identity infrastructure that</w:t>
        </w:r>
        <w:r>
          <w:t xml:space="preserve"> </w:t>
        </w:r>
        <w:r>
          <w:t xml:space="preserve">tokenized networks require for sybil resistance, proof-of-service, and</w:t>
        </w:r>
        <w:r>
          <w:t xml:space="preserve"> </w:t>
        </w:r>
        <w:r>
          <w:t xml:space="preserve">reputation. Nissenbaum’s (2010) framing of privacy as contextual</w:t>
        </w:r>
        <w:r>
          <w:t xml:space="preserve"> </w:t>
        </w:r>
        <w:r>
          <w:t xml:space="preserve">integrity treats appropriate information flow as governed by</w:t>
        </w:r>
        <w:r>
          <w:t xml:space="preserve"> </w:t>
        </w:r>
        <w:r>
          <w:t xml:space="preserve">context-specific norms; Floridi (2013) extends this into a broader</w:t>
        </w:r>
        <w:r>
          <w:t xml:space="preserve"> </w:t>
        </w:r>
        <w:r>
          <w:t xml:space="preserve">information ethics. Together, these frameworks underwrite the design</w:t>
        </w:r>
        <w:r>
          <w:t xml:space="preserve"> </w:t>
        </w:r>
        <w:r>
          <w:t xml:space="preserve">claim that token systems relying on ever-expanding telemetry risk</w:t>
        </w:r>
        <w:r>
          <w:t xml:space="preserve"> </w:t>
        </w:r>
        <w:r>
          <w:t xml:space="preserve">becoming disciplinary infrastructures unless constrained by contextual</w:t>
        </w:r>
        <w:r>
          <w:t xml:space="preserve"> </w:t>
        </w:r>
        <w:r>
          <w:t xml:space="preserve">integrity and proportionality. The five traditions are not isolated</w:t>
        </w:r>
        <w:r>
          <w:t xml:space="preserve"> </w:t>
        </w:r>
        <w:r>
          <w:t xml:space="preserve">lenses but complementary specifications of legitimacy, jointly defining</w:t>
        </w:r>
        <w:r>
          <w:t xml:space="preserve"> </w:t>
        </w:r>
        <w:r>
          <w:t xml:space="preserve">the design constraints the framework operationalizes in Section 2.9 and</w:t>
        </w:r>
        <w:r>
          <w:t xml:space="preserve"> </w:t>
        </w:r>
        <w:r>
          <w:t xml:space="preserve">the scoring rubric in Table 1.</w:t>
        </w:r>
      </w:ins>
    </w:p>
    <w:bookmarkEnd w:id="47"/>
    <w:bookmarkStart w:id="48" w:name="synthesis-and-research-gap"/>
    <w:p>
      <w:ins w:id="10099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0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1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02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03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04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05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06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07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08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09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0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1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12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13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14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15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16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17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18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19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0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1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22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23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24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26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27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28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29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0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1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32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33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34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35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36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37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39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0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1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43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45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46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47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48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54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55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56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7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0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82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83" w:author="R2 Revision" w:date="2026-05-19T00:00:00Z">
        <w:pPr>
          <w:pStyle w:val="Heading3"/>
        </w:pPr>
        <w:r>
          <w:t xml:space="preserve">2.10.1 Approach</w:t>
        </w:r>
      </w:ins>
    </w:p>
    <w:p>
      <w:ins w:id="10184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85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86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87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88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89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0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futarchy). The expanded 40-protocol sample was constructed by adding</w:t>
        </w:r>
        <w:r>
          <w:t xml:space="preserve"> </w:t>
        </w:r>
        <w:r>
          <w:t xml:space="preserve">protocols from the Dune Analytics ecosystem that met three criteria: (i)</w:t>
        </w:r>
        <w:r>
          <w:t xml:space="preserve"> </w:t>
        </w:r>
        <w:r>
          <w:t xml:space="preserve">publicly traded governance token, (ii) holder data queryable via Dune or</w:t>
        </w:r>
        <w:r>
          <w:t xml:space="preserve"> </w:t>
        </w:r>
        <w:r>
          <w:t xml:space="preserve">Helius DAS API, and (iii) at least 50 non-zero-balance holders after</w:t>
        </w:r>
        <w:r>
          <w:t xml:space="preserve"> </w:t>
        </w:r>
        <w:r>
          <w:t xml:space="preserve">protocol-controlled address exclusion. MetaDAO is included as the sole</w:t>
        </w:r>
        <w:r>
          <w:t xml:space="preserve"> </w:t>
        </w:r>
        <w:r>
          <w:t xml:space="preserve">futarchy-governance protocol in the sample. Solana-native tokens (META,</w:t>
        </w:r>
        <w:r>
          <w:t xml:space="preserve"> </w:t>
        </w:r>
        <w:r>
          <w:t xml:space="preserve">DRIFT, GRASS, W) required a separate data collection pipeline (Helius</w:t>
        </w:r>
        <w:r>
          <w:t xml:space="preserve"> </w:t>
        </w:r>
        <w:r>
          <w:t xml:space="preserve">DAS API) because the primary indexer undercounted holders by two orders</w:t>
        </w:r>
        <w:r>
          <w:t xml:space="preserve"> </w:t>
        </w:r>
        <w:r>
          <w:t xml:space="preserve">of 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1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9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193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194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195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196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197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198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199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0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Subsequent Tally and Snapshot</w:t>
        </w:r>
        <w:r>
          <w:t xml:space="preserve"> </w:t>
        </w:r>
        <w:r>
          <w:t xml:space="preserve">API queries during the R2 revision cycle (May 2026) confirmed that</w:t>
        </w:r>
        <w:r>
          <w:t xml:space="preserve"> </w:t>
        </w:r>
        <w:r>
          <w:t xml:space="preserve">voting-power distributions can drift materially over multi-month</w:t>
        </w:r>
        <w:r>
          <w:t xml:space="preserve"> </w:t>
        </w:r>
        <w:r>
          <w:t xml:space="preserve">windows: a fresh Compound Tally pull in May 2026 returned roughly 120</w:t>
        </w:r>
        <w:r>
          <w:t xml:space="preserve"> </w:t>
        </w:r>
        <w:r>
          <w:t xml:space="preserve">delegates with non-zero voting power, compared with the 100-delegate</w:t>
        </w:r>
        <w:r>
          <w:t xml:space="preserve"> </w:t>
        </w:r>
        <w:r>
          <w:t xml:space="preserve">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1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02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(TGE), defined as team_pct +</w:t>
        </w:r>
        <w:r>
          <w:t xml:space="preserve"> </w:t>
        </w:r>
        <w:r>
          <w:t xml:space="preserve">investor_pct from primary tokenomics sources. Insider count fraction in</w:t>
        </w:r>
        <w:r>
          <w:t xml:space="preserve"> </w:t>
        </w:r>
        <w:r>
          <w:t xml:space="preserve">top-10 holders is a descriptive mechanism variable measured</w:t>
        </w:r>
        <w:r>
          <w:t xml:space="preserve"> </w:t>
        </w:r>
        <w:r>
          <w:t xml:space="preserve">post-distribution from holder snapshots, defined as the post-exclusion</w:t>
        </w:r>
        <w:r>
          <w:t xml:space="preserve"> </w:t>
        </w:r>
        <w:r>
          <w:t xml:space="preserve">fraction of wallets in the top-10 classified as insider via a three-tier</w:t>
        </w:r>
        <w:r>
          <w:t xml:space="preserve"> </w:t>
        </w:r>
        <w:r>
          <w:t xml:space="preserve">procedure: Tier 1 uses Blockscout verified-contract labels and Dune</w:t>
        </w:r>
        <w:r>
          <w:t xml:space="preserve"> </w:t>
        </w:r>
        <w:r>
          <w:t xml:space="preserve">exchange tags; Tier 2 uses contract bytecode matching for SafeProxy,</w:t>
        </w:r>
        <w:r>
          <w:t xml:space="preserve"> </w:t>
        </w:r>
        <w:r>
          <w:t xml:space="preserve">GnosisSafe, and vesting contracts; Tier 3 uses Etherscan named-address</w:t>
        </w:r>
        <w:r>
          <w:t xml:space="preserve"> </w:t>
        </w:r>
        <w:r>
          <w:t xml:space="preserve">matching against documented foundation, treasury, and 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(113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03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04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05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06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07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0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0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1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1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1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15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0.114;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0.102;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0.132;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1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52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53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54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55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56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57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58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59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0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1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62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63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64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65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66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67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68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69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or SPL token holders should apply the five PCA classes</w:t>
        </w:r>
        <w:r>
          <w:t xml:space="preserve"> </w:t>
        </w:r>
        <w:r>
          <w:t xml:space="preserve">documented below before computing 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75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22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ins w:id="10276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77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78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7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82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83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84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85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86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292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293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rules, delegation</w:t>
        </w:r>
        <w:r>
          <w:t xml:space="preserve"> </w:t>
        </w:r>
        <w:r>
          <w:t xml:space="preserve">patterns, or proposal-rights 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294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295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75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296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299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0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1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02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03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04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86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 (ATH)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appear as full Table 4 rows above following supplementary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holder-list collection in the R2 cycle: Hivemapper and io.net via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Helius DAS API (90,680 HONEY holders; 84,861 IO holders); Aethir via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Dune erc20_ethereum.evt_transfer net-balance aggregation (1,000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 pulled). All three were footnote-only in the R1 submission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because the original Dune holder-list extraction did not include them.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The Aethir HHI (0.209) reported here reflects the R2 recomputation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the May 2026 Dune top-1000 pull (holders_ATH_2026-05-17.csv);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R1 footnote value of 0.168 was based on the March 2026 cascade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snapshot. The R2 value (0.209) supersedes earlier interim estimates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(including 0.153 cited in earlier R2 drafts) per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26" w:author="R2 Revision" w:date="2026-05-19T00:00:00Z">
        <w:pPr>
          <w:pStyle w:val="BodyText"/>
        </w:pPr>
        <w:r>
          <w:t xml:space="preserve">Table 4 notes:</w:t>
        </w:r>
      </w:ins>
    </w:p>
    <w:p>
      <w:ins w:id="10627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28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29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48%, Yearn 14%, Stake DAO 9%, with the</w:t>
        </w:r>
        <w:r>
          <w:t xml:space="preserve"> </w:t>
        </w:r>
        <w:r>
          <w:t xml:space="preserve">remaining top-50 lockers each at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0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1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(19 protocols), the DePIN-DeFi concentration gap</w:t>
        </w:r>
        <w:r>
          <w:t xml:space="preserve"> </w:t>
        </w:r>
        <w:r>
          <w:t xml:space="preserve">narrows substantially: DRIFT (0.419 uncorrected to 0.101 corrected,</w:t>
        </w:r>
        <w:r>
          <w:t xml:space="preserve"> </w:t>
        </w:r>
        <w:r>
          <w:t xml:space="preserve">reflecting Helius enumeration of 27,888 holders versus 104 from Dune), W</w:t>
        </w:r>
        <w:r>
          <w:t xml:space="preserve"> </w:t>
        </w:r>
        <w:r>
          <w:t xml:space="preserve">(0.126 to 0.015), 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32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Uniswap (0.010), and</w:t>
        </w:r>
        <w:r>
          <w:t xml:space="preserve"> </w:t>
        </w:r>
        <w:r>
          <w:t xml:space="preserve">Uniswap (0.010) in DeFi; Optimism (0.009), Arbitrum (0.012), LayerZero</w:t>
        </w:r>
        <w:r>
          <w:t xml:space="preserve"> </w:t>
        </w:r>
        <w:r>
          <w:t xml:space="preserve">(0.015), and Wormhole (0.015) in L1/L2 infrastructure; and Hivemapper</w:t>
        </w:r>
        <w:r>
          <w:t xml:space="preserve"> </w:t>
        </w:r>
        <w:r>
          <w:t xml:space="preserve">(0.017) in DePIN all achieve HHI below 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33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34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35" w:author="R2 Revision" w:date="2026-05-19T00:00:00Z">
        <w:pPr>
          <w:pStyle w:val="FirstParagraph"/>
        </w:pPr>
        <w:r>
          <w:t xml:space="preserve">DePIN protocols have roughly twice the governance concentration of DeFi</w:t>
        </w:r>
        <w:r>
          <w:t xml:space="preserve"> </w:t>
        </w:r>
        <w:r>
          <w:t xml:space="preserve">protocols (mean HHI 0.085 vs. 0.031; Mann-Whitney p = 0.016, Cohen’s d =</w:t>
        </w:r>
        <w:r>
          <w:t xml:space="preserve"> </w:t>
        </w:r>
        <w:r>
          <w:t xml:space="preserve">1.03, N = 15/15). The gap holds after adjusting for protocol age,</w:t>
        </w:r>
        <w:r>
          <w:t xml:space="preserve"> </w:t>
        </w:r>
        <w:r>
          <w:t xml:space="preserve">valuation, and insider allocation (Table 6, Models 1-3).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36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iterations, and a</w:t>
        </w:r>
        <w:r>
          <w:t xml:space="preserve"> </w:t>
        </w:r>
        <w:r>
          <w:t xml:space="preserve">permutation test yields p = 0.004.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37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3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39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0.016,</w:t>
        </w:r>
        <w:r>
          <w:t xml:space="preserve"> </w:t>
        </w:r>
        <w:r>
          <w:t xml:space="preserve">Cohen’s d = 1.09; Mann-Whitney p = 0.005.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0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1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0.040)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42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43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44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45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4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4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52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5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4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43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69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69 figure counts excluded addresses across the top-1,000</w:t>
        </w:r>
        <w:r>
          <w:t xml:space="preserve"> </w:t>
        </w:r>
        <w:r>
          <w:t xml:space="preserve">holders of the 20 protocols where exclusions materially changed HHI. The</w:t>
        </w:r>
        <w:r>
          <w:t xml:space="preserve"> </w:t>
        </w:r>
        <w:r>
          <w:t xml:space="preserve">samples and windows differ; the two numbers are not interchangeable.</w:t>
        </w:r>
      </w:ins>
    </w:p>
    <w:p>
      <w:ins w:id="10744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45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46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4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48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0.18,</w:t>
        </w:r>
        <w:r>
          <w:t xml:space="preserve"> </w:t>
        </w:r>
        <w:r>
          <w:t xml:space="preserve">p = 0.28,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49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0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1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0.048, p = 0.012, N = 38; Model</w:t>
        </w:r>
        <w:r>
          <w:t xml:space="preserve"> </w:t>
        </w:r>
        <w:r>
          <w:t xml:space="preserve">2: 0.050, p = 0.027, N = 36) and borderline significant in Model 3</w:t>
        </w:r>
        <w:r>
          <w:t xml:space="preserve"> </w:t>
        </w:r>
        <w:r>
          <w:t xml:space="preserve">(0.048, p = 0.050, N = 35). No other covariate achieves p &lt; 0.10. In</w:t>
        </w:r>
        <w:r>
          <w:t xml:space="preserve"> </w:t>
        </w:r>
        <w:r>
          <w:t xml:space="preserve">particular, the initial insider allocation percentage used as a Table 6</w:t>
        </w:r>
        <w:r>
          <w:t xml:space="preserve"> </w:t>
        </w:r>
        <w:r>
          <w:t xml:space="preserve">covariate is not significant, consistent with the bivariate null in</w:t>
        </w:r>
        <w:r>
          <w:t xml:space="preserve"> </w:t>
        </w:r>
        <w:r>
          <w:t xml:space="preserve">Table 5. This is distinct from the current insider-retention measure</w:t>
        </w:r>
        <w:r>
          <w:t xml:space="preserve"> </w:t>
        </w:r>
        <w:r>
          <w:t xml:space="preserve">reported in Section 3.4 (Spearman rho = 0.48), which counts how many of</w:t>
        </w:r>
        <w:r>
          <w:t xml:space="preserve"> </w:t>
        </w:r>
        <w:r>
          <w:t xml:space="preserve">a protocol's top-10 holders are insiders rather than measuring the</w:t>
        </w:r>
        <w:r>
          <w:t xml:space="preserve"> </w:t>
        </w:r>
        <w:r>
          <w:t xml:space="preserve">share of supply allocated to insiders at launch. The adjusted R-squared</w:t>
        </w:r>
        <w:r>
          <w:t xml:space="preserve"> </w:t>
        </w:r>
        <w:r>
          <w:t xml:space="preserve">ranges from 0.14 to 0.17, indicating that sector membership accounts for</w:t>
        </w:r>
        <w:r>
          <w:t xml:space="preserve"> </w:t>
        </w:r>
        <w:r>
          <w:t xml:space="preserve">more cross-sectional variation than protocol age, valuation, or</w:t>
        </w:r>
        <w:r>
          <w:t xml:space="preserve"> </w:t>
        </w:r>
        <w:r>
          <w:t xml:space="preserve">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52" w:author="R2 Revision" w:date="2026-05-19T00:00:00Z">
              <w:pPr>
                <w:pStyle w:val="Compact"/>
              </w:pPr>
            </w:ins>
          </w:p>
        </w:tc>
        <w:tc>
          <w:tcPr/>
          <w:p>
            <w:ins w:id="107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56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57" w:author="R2 Revision" w:date="2026-05-19T00:00:00Z">
              <w:pPr>
                <w:pStyle w:val="Compact"/>
                <w:jc w:val="left"/>
              </w:pPr>
              <w:r>
                <w:t xml:space="preserve">0.048**</w:t>
              </w:r>
            </w:ins>
          </w:p>
        </w:tc>
        <w:tc>
          <w:tcPr/>
          <w:p>
            <w:ins w:id="10758" w:author="R2 Revision" w:date="2026-05-19T00:00:00Z">
              <w:pPr>
                <w:pStyle w:val="Compact"/>
                <w:jc w:val="left"/>
              </w:pPr>
              <w:r>
                <w:t xml:space="preserve">0.050**</w:t>
              </w:r>
            </w:ins>
          </w:p>
        </w:tc>
        <w:tc>
          <w:tcPr/>
          <w:p>
            <w:ins w:id="10759" w:author="R2 Revision" w:date="2026-05-19T00:00:00Z">
              <w:pPr>
                <w:pStyle w:val="Compact"/>
                <w:jc w:val="left"/>
              </w:pPr>
              <w:r>
                <w:t xml:space="preserve">0.048*</w:t>
              </w:r>
            </w:ins>
          </w:p>
        </w:tc>
      </w:tr>
      <w:tr>
        <w:tc>
          <w:tcPr/>
          <w:p>
            <w:ins w:id="10760" w:author="R2 Revision" w:date="2026-05-19T00:00:00Z">
              <w:pPr>
                <w:pStyle w:val="Compact"/>
              </w:pPr>
            </w:ins>
          </w:p>
        </w:tc>
        <w:tc>
          <w:tcPr/>
          <w:p>
            <w:ins w:id="10761" w:author="R2 Revision" w:date="2026-05-19T00:00:00Z">
              <w:pPr>
                <w:pStyle w:val="Compact"/>
                <w:jc w:val="left"/>
              </w:pPr>
              <w:r>
                <w:t xml:space="preserve">(0.019)</w:t>
              </w: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t xml:space="preserve">(0.023)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</w:tr>
      <w:tr>
        <w:tc>
          <w:tcPr/>
          <w:p>
            <w:ins w:id="10764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65" w:author="R2 Revision" w:date="2026-05-19T00:00:00Z">
              <w:pPr>
                <w:pStyle w:val="Compact"/>
                <w:jc w:val="left"/>
              </w:pPr>
              <w:r>
                <w:t xml:space="preserve">-0.011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-0.014</w:t>
              </w:r>
            </w:ins>
          </w:p>
        </w:tc>
      </w:tr>
      <w:tr>
        <w:tc>
          <w:tcPr/>
          <w:p>
            <w:ins w:id="10768" w:author="R2 Revision" w:date="2026-05-19T00:00:00Z">
              <w:pPr>
                <w:pStyle w:val="Compact"/>
              </w:pPr>
            </w:ins>
          </w:p>
        </w:tc>
        <w:tc>
          <w:tcPr/>
          <w:p>
            <w:ins w:id="10769" w:author="R2 Revision" w:date="2026-05-19T00:00:00Z">
              <w:pPr>
                <w:pStyle w:val="Compact"/>
                <w:jc w:val="left"/>
              </w:pPr>
              <w:r>
                <w:t xml:space="preserve">(0.019)</w:t>
              </w: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(0.022)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</w:tr>
      <w:tr>
        <w:tc>
          <w:tcPr/>
          <w:p>
            <w:ins w:id="10772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73" w:author="R2 Revision" w:date="2026-05-19T00:00:00Z">
              <w:pPr>
                <w:pStyle w:val="Compact"/>
                <w:jc w:val="left"/>
              </w:pPr>
              <w:r>
                <w:t xml:space="preserve">0.034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0.029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0.029</w:t>
              </w:r>
            </w:ins>
          </w:p>
        </w:tc>
      </w:tr>
      <w:tr>
        <w:tc>
          <w:tcPr/>
          <w:p>
            <w:ins w:id="10776" w:author="R2 Revision" w:date="2026-05-19T00:00:00Z">
              <w:pPr>
                <w:pStyle w:val="Compact"/>
              </w:pPr>
            </w:ins>
          </w:p>
        </w:tc>
        <w:tc>
          <w:tcPr/>
          <w:p>
            <w:ins w:id="10777" w:author="R2 Revision" w:date="2026-05-19T00:00:00Z">
              <w:pPr>
                <w:pStyle w:val="Compact"/>
                <w:jc w:val="left"/>
              </w:pPr>
              <w:r>
                <w:t xml:space="preserve">(0.063)</w:t>
              </w: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(0.075)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(0.095)</w:t>
              </w:r>
            </w:ins>
          </w:p>
        </w:tc>
      </w:tr>
      <w:tr>
        <w:tc>
          <w:tcPr/>
          <w:p>
            <w:ins w:id="10780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81" w:author="R2 Revision" w:date="2026-05-19T00:00:00Z">
              <w:pPr>
                <w:pStyle w:val="Compact"/>
              </w:pP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-0.001</w:t>
              </w:r>
            </w:ins>
          </w:p>
        </w:tc>
      </w:tr>
      <w:tr>
        <w:tc>
          <w:tcPr/>
          <w:p>
            <w:ins w:id="10784" w:author="R2 Revision" w:date="2026-05-19T00:00:00Z">
              <w:pPr>
                <w:pStyle w:val="Compact"/>
              </w:pPr>
            </w:ins>
          </w:p>
        </w:tc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788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89" w:author="R2 Revision" w:date="2026-05-19T00:00:00Z">
              <w:pPr>
                <w:pStyle w:val="Compact"/>
              </w:pPr>
            </w:ins>
          </w:p>
        </w:tc>
        <w:tc>
          <w:tcPr/>
          <w:p>
            <w:ins w:id="10790" w:author="R2 Revision" w:date="2026-05-19T00:00:00Z">
              <w:pPr>
                <w:pStyle w:val="Compact"/>
                <w:jc w:val="left"/>
              </w:pPr>
              <w:r>
                <w:t xml:space="preserve">-0.001</w:t>
              </w: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</w:tr>
      <w:tr>
        <w:tc>
          <w:tcPr/>
          <w:p>
            <w:ins w:id="10792" w:author="R2 Revision" w:date="2026-05-19T00:00:00Z">
              <w:pPr>
                <w:pStyle w:val="Compact"/>
              </w:pPr>
            </w:ins>
          </w:p>
        </w:tc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</w:tr>
      <w:tr>
        <w:tc>
          <w:tcPr/>
          <w:p>
            <w:ins w:id="10796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797" w:author="R2 Revision" w:date="2026-05-19T00:00:00Z">
              <w:pPr>
                <w:pStyle w:val="Compact"/>
              </w:pP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800" w:author="R2 Revision" w:date="2026-05-19T00:00:00Z">
              <w:pPr>
                <w:pStyle w:val="Compact"/>
              </w:pPr>
            </w:ins>
          </w:p>
        </w:tc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04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05" w:author="R2 Revision" w:date="2026-05-19T00:00:00Z">
              <w:pPr>
                <w:pStyle w:val="Compact"/>
                <w:jc w:val="left"/>
              </w:pPr>
              <w:r>
                <w:t xml:space="preserve">0.042***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  <w:jc w:val="left"/>
              </w:pPr>
              <w:r>
                <w:t xml:space="preserve">0.069</w:t>
              </w:r>
            </w:ins>
          </w:p>
        </w:tc>
        <w:tc>
          <w:tcPr/>
          <w:p>
            <w:ins w:id="10807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</w:tr>
      <w:tr>
        <w:tc>
          <w:tcPr/>
          <w:p>
            <w:ins w:id="10808" w:author="R2 Revision" w:date="2026-05-19T00:00:00Z">
              <w:pPr>
                <w:pStyle w:val="Compact"/>
              </w:pPr>
            </w:ins>
          </w:p>
        </w:tc>
        <w:tc>
          <w:tcPr/>
          <w:p>
            <w:ins w:id="10809" w:author="R2 Revision" w:date="2026-05-19T00:00:00Z">
              <w:pPr>
                <w:pStyle w:val="Compact"/>
                <w:jc w:val="left"/>
              </w:pPr>
              <w:r>
                <w:t xml:space="preserve">(0.009)</w:t>
              </w:r>
            </w:ins>
          </w:p>
        </w:tc>
        <w:tc>
          <w:tcPr/>
          <w:p>
            <w:ins w:id="10810" w:author="R2 Revision" w:date="2026-05-19T00:00:00Z">
              <w:pPr>
                <w:pStyle w:val="Compact"/>
                <w:jc w:val="left"/>
              </w:pPr>
              <w:r>
                <w:t xml:space="preserve">(0.090)</w:t>
              </w:r>
            </w:ins>
          </w:p>
        </w:tc>
        <w:tc>
          <w:tcPr/>
          <w:p>
            <w:ins w:id="10811" w:author="R2 Revision" w:date="2026-05-19T00:00:00Z">
              <w:pPr>
                <w:pStyle w:val="Compact"/>
                <w:jc w:val="left"/>
              </w:pPr>
              <w:r>
                <w:t xml:space="preserve">(0.093)</w:t>
              </w:r>
            </w:ins>
          </w:p>
        </w:tc>
      </w:tr>
      <w:tr>
        <w:tc>
          <w:tcPr/>
          <w:p>
            <w:ins w:id="10812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13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16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17" w:author="R2 Revision" w:date="2026-05-19T00:00:00Z">
              <w:pPr>
                <w:pStyle w:val="Compact"/>
                <w:jc w:val="left"/>
              </w:pPr>
              <w:r>
                <w:t xml:space="preserve">0.167</w:t>
              </w: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0.140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(HC3) in parentheses. * p &lt; 0.10, ** p &lt;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ins w:id="10821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22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 in the Tier B1 expansion,</w:t>
        </w:r>
        <w:r>
          <w:t xml:space="preserve"> </w:t>
        </w:r>
        <w:r>
          <w:t xml:space="preserve">yielding 10 protocols with sufficient governance activity in the 12</w:t>
        </w:r>
        <w:r>
          <w:t xml:space="preserve"> </w:t>
        </w:r>
        <w:r>
          <w:t xml:space="preserve">months preceding the snapshot.</w:t>
        </w:r>
      </w:ins>
    </w:p>
    <w:p>
      <w:ins w:id="10823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24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26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 voting/holding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voting/holding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27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28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29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0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31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3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3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3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3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38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0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89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899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0" w:author="R2 Revision" w:date="2026-05-19T00:00:00Z">
        <w:pPr>
          <w:pStyle w:val="BodyText"/>
        </w:pPr>
        <w:r>
          <w:t xml:space="preserve">‡ GMX and ENS added in R2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original eight protocols) and May 2026 (used for GMX and ENS) is</w:t>
        </w:r>
        <w:r>
          <w:t xml:space="preserve"> </w:t>
        </w:r>
        <w:r>
          <w:t xml:space="preserve">documented in Section 2.10.3; rank-ordering across protocols is the</w:t>
        </w:r>
        <w:r>
          <w:t xml:space="preserve"> </w:t>
        </w:r>
        <w:r>
          <w:t xml:space="preserve">durable inferential property, with absolute magnitudes subject to</w:t>
        </w:r>
        <w:r>
          <w:t xml:space="preserve"> </w:t>
        </w:r>
        <w:r>
          <w:t xml:space="preserve">delegate-pool changes over multi-month windows.</w:t>
        </w:r>
      </w:ins>
    </w:p>
    <w:bookmarkStart w:id="95" w:name="X5aa57646c4396d747e0131ec008a4e3f93d4422"/>
    <w:p>
      <w:ins w:id="10901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02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03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04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05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Phase 0 Tier C1 analysis (Section 4.1; supplementary file</w:t>
        </w:r>
        <w:r>
          <w:t xml:space="preserve"> </w:t>
        </w:r>
        <w:r>
          <w:t xml:space="preserve">veCRV_voting_concentration_2026-05-17.csv).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06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07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08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09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pull (per Phase 0 Tier C1 fact-check).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0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11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12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13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ins w:id="10914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15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16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 after the F1 holder-list correction). The subsidy correlation</w:t>
        </w:r>
        <w:r>
          <w:t xml:space="preserve"> </w:t>
        </w:r>
        <w:r>
          <w:t xml:space="preserve">is entirely driven by Livepeer. Details follow.</w:t>
        </w:r>
      </w:ins>
    </w:p>
    <w:p>
      <w:ins w:id="10917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 after the F1 holder-list correction)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18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iterations. Seven protocols, when</w:t>
        </w:r>
        <w:r>
          <w:t xml:space="preserve"> </w:t>
        </w:r>
        <w:r>
          <w:t xml:space="preserve">individually dropped, push the p-value to 0.052: Hyperliquid, Aethir,</w:t>
        </w:r>
        <w:r>
          <w:t xml:space="preserve"> </w:t>
        </w:r>
        <w:r>
          <w:t xml:space="preserve">Lido, POKT Network, GEODNET, Livepeer, and WeatherXM. No single protocol</w:t>
        </w:r>
        <w:r>
          <w:t xml:space="preserve"> </w:t>
        </w:r>
        <w:r>
          <w:t xml:space="preserve">uniquely drives the result; rather, the test sits near the 5% threshold</w:t>
        </w:r>
        <w:r>
          <w:t xml:space="preserve"> </w:t>
        </w:r>
        <w:r>
          <w:t xml:space="preserve">and is sensitive to the exact composition of both sector subsamples. A</w:t>
        </w:r>
        <w:r>
          <w:t xml:space="preserve"> </w:t>
        </w:r>
        <w:r>
          <w:t xml:space="preserve">permutation test (10,000 random reassignments of sector labels) yields p</w:t>
        </w:r>
        <w:r>
          <w:t xml:space="preserve"> </w:t>
        </w:r>
        <w:r>
          <w:t xml:space="preserve">= 0.009, consistent with the direction not being an artifact of the</w:t>
        </w:r>
        <w:r>
          <w:t xml:space="preserve"> </w:t>
        </w:r>
        <w:r>
          <w:t xml:space="preserve">asymptotic approximation. We characterize this finding as suggestive</w:t>
        </w:r>
        <w:r>
          <w:t xml:space="preserve"> </w:t>
        </w:r>
        <w:r>
          <w:t xml:space="preserve">rather than robust.</w:t>
        </w:r>
      </w:ins>
    </w:p>
    <w:p>
      <w:ins w:id="10919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0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2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22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23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R1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24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 and the F1 cycle refinements).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25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26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27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28" w:author="R2 Revision" w:date="2026-05-19T00:00:00Z">
        <w:pPr>
          <w:pStyle w:val="BodyText"/>
        </w:pPr>
        <w:r>
          <w:t xml:space="preserve">Top-N holder-list cutoff sensitivity. The R1 F1 cycle surfaced a</w:t>
        </w:r>
        <w:r>
          <w:t xml:space="preserve"> </w:t>
        </w:r>
        <w:r>
          <w:t xml:space="preserve">methodological lesson with broad applicability: holder-list extraction</w:t>
        </w:r>
        <w:r>
          <w:t xml:space="preserve"> </w:t>
        </w:r>
        <w:r>
          <w:t xml:space="preserve">cutoffs materially affect the measured concentration for sparse-holder</w:t>
        </w:r>
        <w:r>
          <w:t xml:space="preserve"> </w:t>
        </w:r>
        <w:r>
          <w:t xml:space="preserve">protocols. For three protocols (MOR, AXL, ZRO), Dune holder-list</w:t>
        </w:r>
        <w:r>
          <w:t xml:space="preserve"> </w:t>
        </w:r>
        <w:r>
          <w:t xml:space="preserve">queries had been inadvertently capped at top-100 rather than top-1000;</w:t>
        </w:r>
        <w:r>
          <w:t xml:space="preserve"> </w:t>
        </w:r>
        <w:r>
          <w:t xml:space="preserve">re-pulling at the top-1000 cutoff after applying PCA exclusion methodology</w:t>
        </w:r>
        <w:r>
          <w:t xml:space="preserve"> </w:t>
        </w:r>
        <w:r>
          <w:t xml:space="preserve">yielded substantively different HHI values: MOR 0.013 to 0.031 (post-F1);</w:t>
        </w:r>
        <w:r>
          <w:t xml:space="preserve"> </w:t>
        </w:r>
        <w:r>
          <w:t xml:space="preserve">AXL 0.004 to 0.028 (post-F1); ZRO 0.010 to 0.015 (post-F1). The</w:t>
        </w:r>
        <w:r>
          <w:t xml:space="preserve"> </w:t>
        </w:r>
        <w:r>
          <w:t xml:space="preserve">correction affected the cross-sector test statistics (DePIN-vs-DeFi</w:t>
        </w:r>
        <w:r>
          <w:t xml:space="preserve"> </w:t>
        </w:r>
        <w:r>
          <w:t xml:space="preserve">Mann-Whitney p = 0.027 to 0.016; Cohen’s d = 1.02 to 1.10; leave-one-out</w:t>
        </w:r>
        <w:r>
          <w:t xml:space="preserve"> </w:t>
        </w:r>
        <w:r>
          <w:t xml:space="preserve">sensitivity 23-of-30 to 30-of-30).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29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30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ins w:id="10932" w:author="R2 Revision" w:date="2026-05-19T00:00:00Z">
        <w:pPr>
          <w:pStyle w:val="Heading1"/>
        </w:pPr>
        <w:r>
          <w:t xml:space="preserve">4 Discussion</w:t>
        </w:r>
      </w:ins>
    </w:p>
    <w:bookmarkStart w:id="109" w:name="design-hypotheses"/>
    <w:p>
      <w:ins w:id="10933" w:author="R2 Revision" w:date="2026-05-19T00:00:00Z">
        <w:pPr>
          <w:pStyle w:val="Heading2"/>
        </w:pPr>
        <w:r>
          <w:t xml:space="preserve">4.1 Design Hypotheses</w:t>
        </w:r>
      </w:ins>
    </w:p>
    <w:p>
      <w:ins w:id="10934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35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36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37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38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39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WeatherXM 0.148, GEODNET 0.133) exhibit concentration</w:t>
        </w:r>
        <w:r>
          <w:t xml:space="preserve"> </w:t>
        </w:r>
        <w:r>
          <w:t xml:space="preserve">the framework flags for scrutiny, though no protocol in the corrected</w:t>
        </w:r>
        <w:r>
          <w:t xml:space="preserve"> </w:t>
        </w:r>
        <w:r>
          <w:t xml:space="preserve">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40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41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42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43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1999). When governance power exceeds the</w:t>
        </w:r>
        <w:r>
          <w:t xml:space="preserve"> </w:t>
        </w:r>
        <w:r>
          <w:t xml:space="preserve">efficient bilateral-bargaining threshold, the resulting monopsonistic</w:t>
        </w:r>
        <w:r>
          <w:t xml:space="preserve"> </w:t>
        </w:r>
        <w:r>
          <w:t xml:space="preserve">markdown on operator compensation produces allocative inefficiency;</w:t>
        </w:r>
        <w:r>
          <w:t xml:space="preserve"> </w:t>
        </w:r>
        <w:r>
          <w:t xml:space="preserve">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44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45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09"/>
    <w:bookmarkStart w:id="110" w:name="governance-design-implications"/>
    <w:p>
      <w:ins w:id="10946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47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48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49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50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51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~47% of veCRV (DeFi Llama, 2026).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52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53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54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ins w:id="10955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56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57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1"/>
    <w:bookmarkStart w:id="112" w:name="risks-and-counterpoints"/>
    <w:p>
      <w:ins w:id="10958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59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60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61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62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63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64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65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ins w:id="10967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68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69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70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71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73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74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3"/>
    <w:bookmarkStart w:id="114" w:name="summary-of-findings"/>
    <w:p>
      <w:ins w:id="10976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77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78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0.14 and 0.17).</w:t>
        </w:r>
      </w:ins>
    </w:p>
    <w:p>
      <w:ins w:id="10979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4"/>
    <w:bookmarkStart w:id="115" w:name="contributions"/>
    <w:p>
      <w:ins w:id="10980" w:author="R2 Revision" w:date="2026-05-19T00:00:00Z">
        <w:pPr>
          <w:pStyle w:val="Heading2"/>
        </w:pPr>
        <w:r>
          <w:t xml:space="preserve">4.7 Contributions</w:t>
        </w:r>
      </w:ins>
    </w:p>
    <w:p>
      <w:ins w:id="10981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82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(burn-destination</w:t>
        </w:r>
        <w:r>
          <w:t xml:space="preserve"> </w:t>
        </w:r>
        <w:r>
          <w:t xml:space="preserve">addresses; foundation and treasury custody; staking-aggregation</w:t>
        </w:r>
        <w:r>
          <w:t xml:space="preserve"> </w:t>
        </w:r>
        <w:r>
          <w:t xml:space="preserve">contracts; bridge custody and migration addresses); future cross-</w:t>
        </w:r>
        <w:r>
          <w:t xml:space="preserve"> </w:t>
        </w:r>
        <w:r>
          <w:t xml:space="preserve">protocol governance HHI analysis on ERC-20 or SPL token holders can</w:t>
        </w:r>
        <w:r>
          <w:t xml:space="preserve"> </w:t>
        </w:r>
        <w:r>
          <w:t xml:space="preserve">apply the typology uniformly.</w:t>
        </w:r>
      </w:ins>
    </w:p>
    <w:p>
      <w:ins w:id="10983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84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after adjusting for protocol age, log fully diluted</w:t>
        </w:r>
        <w:r>
          <w:t xml:space="preserve"> </w:t>
        </w:r>
        <w:r>
          <w:t xml:space="preserve">valuation, and insider allocation (Mann-Whitney p = 0.016, Cohen’s</w:t>
        </w:r>
        <w:r>
          <w:t xml:space="preserve"> </w:t>
        </w:r>
        <w:r>
          <w:t xml:space="preserve">d = 1.03; Table 6: sector coefficient p &lt; 0.05 in Models 1 and 2,</w:t>
        </w:r>
        <w:r>
          <w:t xml:space="preserve"> </w:t>
        </w:r>
        <w:r>
          <w:t xml:space="preserve">borderline at p = 0.050 in Model 3 with the full control set).</w:t>
        </w:r>
        <w:r>
          <w:t xml:space="preserve"> </w:t>
        </w:r>
        <w:r>
          <w:t xml:space="preserve">Initial allocation, maturity, subsidy structure, and token unlock</w:t>
        </w:r>
        <w:r>
          <w:t xml:space="preserve"> </w:t>
        </w:r>
        <w:r>
          <w:t xml:space="preserve">progress (three float specifications, all |r| &lt; 0.05) do not</w:t>
        </w:r>
        <w:r>
          <w:t xml:space="preserve"> </w:t>
        </w:r>
        <w:r>
          <w:t xml:space="preserve">predict concentration. The allocation null is the headline finding;</w:t>
        </w:r>
        <w:r>
          <w:t xml:space="preserve"> </w:t>
        </w:r>
        <w:r>
          <w:t xml:space="preserve">the sector contrast is the headline positive result.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0988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0.040,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5"/>
    <w:bookmarkStart w:id="116" w:name="limitations-1"/>
    <w:p>
      <w:ins w:id="10989" w:author="R2 Revision" w:date="2026-05-19T00:00:00Z">
        <w:pPr>
          <w:pStyle w:val="Heading2"/>
        </w:pPr>
        <w:r>
          <w:t xml:space="preserve">4.8 Limitations</w:t>
        </w:r>
      </w:ins>
    </w:p>
    <w:p>
      <w:ins w:id="10990" w:author="R2 Revision" w:date="2026-05-19T00:00:00Z">
        <w:pPr>
          <w:pStyle w:val="FirstParagraph"/>
        </w:pPr>
        <w:r>
          <w:t xml:space="preserve">The evidence carries several limitations. The governance concentration</w:t>
        </w:r>
        <w:r>
          <w:t xml:space="preserve"> </w:t>
        </w:r>
        <w:r>
          <w:t xml:space="preserve">analysis is a March 2026 snapshot: tracking concentration over time</w:t>
        </w:r>
        <w:r>
          <w:t xml:space="preserve"> </w:t>
        </w:r>
        <w:r>
          <w:t xml:space="preserve">would reveal whether protocols are becoming more or less concentrated</w:t>
        </w:r>
        <w:r>
          <w:t xml:space="preserve"> </w:t>
        </w:r>
        <w:r>
          <w:t xml:space="preserve">and strengthen causal claims. A single scorer has applied the scoring</w:t>
        </w:r>
        <w:r>
          <w:t xml:space="preserve"> </w:t>
        </w:r>
        <w:r>
          <w:t xml:space="preserve">rubric; inter-rater reliability testing with independent scorers is</w:t>
        </w:r>
        <w:r>
          <w:t xml:space="preserve"> </w:t>
        </w:r>
        <w:r>
          <w:t xml:space="preserve">needed before the rubric can claim measurement validity beyond its</w:t>
        </w:r>
        <w:r>
          <w:t xml:space="preserve"> </w:t>
        </w:r>
        <w:r>
          <w:t xml:space="preserve">current proof-of-concept status.</w:t>
        </w:r>
      </w:ins>
    </w:p>
    <w:p>
      <w:ins w:id="10991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0992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0993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0994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0995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measure;</w:t>
        </w:r>
        <w:r>
          <w:t xml:space="preserve"> </w:t>
        </w:r>
        <w:r>
          <w:t xml:space="preserve">power indices measure pivotal-voter influence. The Shapley-Shubik power</w:t>
        </w:r>
        <w:r>
          <w:t xml:space="preserve"> </w:t>
        </w:r>
        <w:r>
          <w:t xml:space="preserve">index (Shapley &amp; Shubik, 1954) and the Banzhaf index (Banzhaf, 1968)</w:t>
        </w:r>
        <w:r>
          <w:t xml:space="preserve"> </w:t>
        </w:r>
        <w:r>
          <w:t xml:space="preserve">are the canonical voting-theory complements to HHI: under</w:t>
        </w:r>
        <w:r>
          <w:t xml:space="preserve"> </w:t>
        </w:r>
        <w:r>
          <w:t xml:space="preserve">threshold-voting mechanisms, a holder’s pivotal probability can diverge</w:t>
        </w:r>
        <w:r>
          <w:t xml:space="preserve"> </w:t>
        </w:r>
        <w:r>
          <w:t xml:space="preserve">substantially from their nominal token share, particularly near passage</w:t>
        </w:r>
        <w:r>
          <w:t xml:space="preserve"> </w:t>
        </w:r>
        <w:r>
          <w:t xml:space="preserve">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0996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bookmarkEnd w:id="116"/>
    <w:bookmarkStart w:id="118" w:name="future-research"/>
    <w:p>
      <w:ins w:id="10997" w:author="R2 Revision" w:date="2026-05-19T00:00:00Z">
        <w:pPr>
          <w:pStyle w:val="Heading2"/>
        </w:pPr>
        <w:r>
          <w:t xml:space="preserve">4.9 Future Research</w:t>
        </w:r>
      </w:ins>
    </w:p>
    <w:p>
      <w:ins w:id="10998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17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0999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00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01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</w:t>
        </w:r>
        <w:r>
          <w:t xml:space="preserve"> </w:t>
        </w:r>
        <w:r>
          <w:t xml:space="preserve">Shapley-based reward distributions achieve bounded Price of Stability</w:t>
        </w:r>
        <w:r>
          <w:t xml:space="preserve"> </w:t>
        </w:r>
        <w:r>
          <w:t xml:space="preserve">(4/3) in oceanic staking models while inherently resisting Sybil</w:t>
        </w:r>
        <w:r>
          <w:t xml:space="preserve"> </w:t>
        </w:r>
        <w:r>
          <w:t xml:space="preserve">stake-splitting attacks (Kiayias et al., 2025), indicating that this</w:t>
        </w:r>
        <w:r>
          <w:t xml:space="preserve"> </w:t>
        </w:r>
        <w:r>
          <w:t xml:space="preserve">measurement extension is both theoretically grounded and computationally</w:t>
        </w:r>
        <w:r>
          <w:t xml:space="preserve"> </w:t>
        </w:r>
        <w:r>
          <w:t xml:space="preserve">feasible for the sample sizes in the current dataset.</w:t>
        </w:r>
      </w:ins>
    </w:p>
    <w:p>
      <w:ins w:id="11002" w:author="R2 Revision" w:date="2026-05-19T00:00:00Z">
        <w:pPr>
          <w:pStyle w:val="BodyText"/>
        </w:pPr>
        <w:r>
          <w:t xml:space="preserve">Falsifiable forward claims. The cross-sectional design supports two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 that future panel-data analysis can test. First, if</w:t>
        </w:r>
        <w:r>
          <w:t xml:space="preserve"> </w:t>
        </w:r>
        <w:r>
          <w:t xml:space="preserve">governance concentration continues to track sector membership (the</w:t>
        </w:r>
        <w:r>
          <w:t xml:space="preserve"> </w:t>
        </w:r>
        <w:r>
          <w:t xml:space="preserve">DePIN-DeFi differential documented in Section 3.3), we predict that</w:t>
        </w:r>
        <w:r>
          <w:t xml:space="preserve"> </w:t>
        </w:r>
        <w:r>
          <w:t xml:space="preserve">DePIN protocols entering the cross-section in 2026-2027 will, on</w:t>
        </w:r>
        <w:r>
          <w:t xml:space="preserve"> </w:t>
        </w:r>
        <w:r>
          <w:t xml:space="preserve">average, exhibit higher holding HHI than DeFi protocols entering in</w:t>
        </w:r>
        <w:r>
          <w:t xml:space="preserve"> </w:t>
        </w:r>
        <w:r>
          <w:t xml:space="preserve">the same period, conditional on launch year and insider allocation</w:t>
        </w:r>
        <w:r>
          <w:t xml:space="preserve"> </w:t>
        </w:r>
        <w:r>
          <w:t xml:space="preserve">similarity. Second, given the universal delegation amplification</w:t>
        </w:r>
        <w:r>
          <w:t xml:space="preserve"> </w:t>
        </w:r>
        <w:r>
          <w:t xml:space="preserve">documented in Section 3.5, we predict that any protocol introducing a</w:t>
        </w:r>
        <w:r>
          <w:t xml:space="preserve"> </w:t>
        </w:r>
        <w:r>
          <w:t xml:space="preserve">delegate-program after R2 submission (or expanding from informal to</w:t>
        </w:r>
        <w:r>
          <w:t xml:space="preserve"> </w:t>
        </w:r>
        <w:r>
          <w:t xml:space="preserve">formal delegation) will produce voting HHI greater than its holding</w:t>
        </w:r>
        <w:r>
          <w:t xml:space="preserve"> </w:t>
        </w:r>
        <w:r>
          <w:t xml:space="preserve">HHI within twelve months of the program launch, with magnitude varying</w:t>
        </w:r>
        <w:r>
          <w:t xml:space="preserve"> </w:t>
        </w:r>
        <w:r>
          <w:t xml:space="preserve">by delegate-program design rather than by sector. Both predictions</w:t>
        </w:r>
        <w:r>
          <w:t xml:space="preserve"> </w:t>
        </w:r>
        <w:r>
          <w:t xml:space="preserve">inherit the methodology applied in this paper (PCA-symmetric HHI</w:t>
        </w:r>
        <w:r>
          <w:t xml:space="preserve"> </w:t>
        </w:r>
        <w:r>
          <w:t xml:space="preserve">computation; March 2026 baseline methodology). Subsequent panel-data</w:t>
        </w:r>
        <w:r>
          <w:t xml:space="preserve"> </w:t>
        </w:r>
        <w:r>
          <w:t xml:space="preserve">and event-study work testing these predictions will be pre-registered</w:t>
        </w:r>
        <w:r>
          <w:t xml:space="preserve"> </w:t>
        </w:r>
        <w:r>
          <w:t xml:space="preserve">(OSF or equivalent) to commit hypothesis specifications prior to data</w:t>
        </w:r>
        <w:r>
          <w:t xml:space="preserve"> </w:t>
        </w:r>
        <w:r>
          <w:t xml:space="preserve">analysis, addressing the multiple-comparisons concerns inherent in</w:t>
        </w:r>
        <w:r>
          <w:t xml:space="preserve"> </w:t>
        </w:r>
        <w:r>
          <w:t xml:space="preserve">cross-sectional descriptive analysis.</w:t>
        </w:r>
      </w:ins>
    </w:p>
    <w:p>
      <w:ins w:id="11003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(86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R2 Table 4 expansion,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ins w:id="11004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05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06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07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08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09" w:author="R2 Revision" w:date="2026-05-19T00:00:00Z">
        <w:pPr>
          <w:pStyle w:val="BodyText"/>
        </w:pP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10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11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12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ins w:id="11013" w:author="R2 Revision" w:date="2026-05-19T00:00:00Z">
        <w:pPr>
          <w:pStyle w:val="Heading1"/>
        </w:pPr>
        <w:r>
          <w:t xml:space="preserve">Acknowledgments</w:t>
        </w:r>
      </w:ins>
    </w:p>
    <w:p>
      <w:ins w:id="11014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2"/>
    <w:bookmarkStart w:id="123" w:name="references"/>
    <w:p>
      <w:ins w:id="11015" w:author="R2 Revision" w:date="2026-05-19T00:00:00Z">
        <w:pPr>
          <w:pStyle w:val="Heading1"/>
        </w:pPr>
        <w:r>
          <w:t xml:space="preserve">References</w:t>
        </w:r>
      </w:ins>
    </w:p>
    <w:p>
      <w:ins w:id="11016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17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18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19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20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21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22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23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24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25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26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27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28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29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30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31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32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33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34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35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36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37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38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39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40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41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42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43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44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45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46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47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48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49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50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51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52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53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54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55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56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57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58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59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60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61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62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63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64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65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66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67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68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69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70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71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72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73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74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75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76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77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78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79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080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081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082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083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084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085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086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087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088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089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090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091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092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093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094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095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096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097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098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099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00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01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02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03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04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05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06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07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08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09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10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11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12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13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14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15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16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17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18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19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20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21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22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2026-05-19T06:46:54Z</dcterms:created>
  <dcterms:modified xsi:type="dcterms:W3CDTF">2026-05-19T06:46:54Z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