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48.png" ContentType="image/png"/>
  <Override PartName="/word/media/rId53.png" ContentType="image/png"/>
  <Override PartName="/word/media/rId61.png" ContentType="image/png"/>
  <Override PartName="/word/media/rId86.png" ContentType="image/png"/>
  <Override PartName="/word/media/rId82.png" ContentType="image/png"/>
  <Override PartName="/word/media/rId56.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Auditing Governance Concentration Beyond Token Allocation: A Live-Governance Study of 52 Token Protocols</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1" w:author="Z. Zukowski" w:date="2026-05-22T00:00:00Z">
        <w:r>
          <w:t xml:space="preserve">Token-governance decentralization is not established by launch allocation, raw holder counts, or token-inequality metrics. It is an auditable current-control condition: who holds governance-relevant tokens after protocol-controlled addresses (PCAs) are removed, who retains insider positions, and how voting mechanisms transform holdings into rule-making power. Token allocation is a launch document. Governance concentration is a live institutional state. We turn that standard into a method across a 52-protocol cross-section spanning DePIN, DeFi, infrastructure, and social tokens, computing Herfindahl-Hirschman Index (HHI) concentration after PCA exclusion.</w:t>
        </w:r>
      </w:ins>
    </w:p>
    <w:p>
      <w:pPr>
        <w:pStyle w:val="BodyText"/>
      </w:pPr>
      <w:ins w:id="10002" w:author="Z. Zukowski" w:date="2026-05-22T00:00:00Z">
        <w:r>
          <w:t xml:space="preserve">Under audit, launch-design and protocol-financial covariates (insider, team, and investor allocation; maturity; circulating float; valuation ratios) are each uninformative about steady-state concentration (insider allocation Pearson r = 0.09, p = 0.55, N = 50). Current insider retention is the holder-side correlate that survives: protocols with more insider wallets among top holders are more concentrated (Spearman rho = 0.44, p = 0.005, N = 39, surviving a non-insider HHI tautology check at rho = 0.54). Voting mechanisms then separate rule-making power from holdings: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 Applied across sectors, the audit also distinguishes DePIN from DeFi: DePIN governance is more concentrated than DeFi after correction, a directionally robust medium effect (Cohen’s d = 0.65, Mann-Whitney p = 0.028), reported as a descriptive sector contrast, not as the central claim.</w:t>
        </w:r>
      </w:ins>
    </w:p>
    <w:p>
      <w:pPr>
        <w:pStyle w:val="BodyText"/>
      </w:pPr>
      <w:ins w:id="10003" w:author="Z. Zukowski" w:date="2026-05-22T00:00:00Z">
        <w:r>
          <w:t xml:space="preserve">Holder-list concentration is meaningless until the unit of control is identified. The five-class PCA-exclusion typology is control attribution, not data cleaning, correcting systematic inflation in prior holder-list studies (median factor 2.3x, maximum approximately 18x); once control is attributed, Gini and HHI capture distinct properties of the same holder set (r = 0.52), and inequality metrics cannot substitute for direct concentration measurement. All findings are descriptive associations from a single March 2026 cross-section, not causal claims; the audit standard and the current-control thesis are general, while the specific point estimates are bounded to that sample. The paper specifies five forward predictions with falsification thresholds and commits to Open Science Framework pre-registration before any panel or event-study extension. The practical implication is a changed audit default: a decentralization claim requires a live-governance audit of PCA-corrected holdings, insider retention, and voting power, not launch allocation or raw holder lists.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4" w:author="Z. Zukowski" w:date="2026-05-22T00:00:00Z">
        <w:r>
          <w:rPr>
            <w:b/>
            <w:bCs/>
          </w:rPr>
          <w:t xml:space="preserve">Keywords:</w:t>
        </w:r>
      </w:ins>
      <w:ins w:id="10004" w:author="Z. Zukowski" w:date="2026-05-22T00:00:00Z">
        <w:r>
          <w:t xml:space="preserve"> </w:t>
        </w:r>
      </w:ins>
      <w:ins w:id="10004" w:author="Z. Zukowski" w:date="2026-05-22T00:00:00Z">
        <w:r>
          <w:t xml:space="preserve">governance concentration, live-governance audit, Herfindahl-Hirschman Index, protocol-controlled addresses, insider retention, voting power concentration, delegation amplification, DePIN, DAO governance, tokenomics</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5" w:author="Z. Zukowski" w:date="2026-05-22T00:00:00Z">
        <w:r>
          <w:t xml:space="preserve">Token-governance decentralization is not established by launch allocation, raw holder counts, or token inequality metrics. It is an auditable current-control condition: who holds governance-relevant tokens after protocol-controlled addresses are removed, who retains insider positions, and how voting mechanisms transform holdings into rule-making power.</w:t>
        </w:r>
      </w:ins>
    </w:p>
    <w:p>
      <w:pPr>
        <w:pStyle w:val="BodyText"/>
      </w:pPr>
      <w:ins w:id="10006" w:author="Z. Zukowski" w:date="2026-05-22T00:00:00Z">
        <w:r>
          <w:t xml:space="preserve">Token-based governance is the default coordination mechanism for</w:t>
        </w:r>
      </w:ins>
      <w:ins w:id="10006" w:author="Z. Zukowski" w:date="2026-05-22T00:00:00Z">
        <w:r>
          <w:t xml:space="preserve"> </w:t>
        </w:r>
      </w:ins>
      <w:ins w:id="10006" w:author="Z. Zukowski" w:date="2026-05-22T00:00:00Z">
        <w:r>
          <w:t xml:space="preserve">billions of dollars in decentralized physical infrastructure (DePIN) and</w:t>
        </w:r>
      </w:ins>
      <w:ins w:id="10006" w:author="Z. Zukowski" w:date="2026-05-22T00:00:00Z">
        <w:r>
          <w:t xml:space="preserve"> </w:t>
        </w:r>
      </w:ins>
      <w:ins w:id="10006" w:author="Z. Zukowski" w:date="2026-05-22T00:00:00Z">
        <w:r>
          <w:t xml:space="preserve">decentralized finance (DeFi). Its votes are not symbolic: they can alter</w:t>
        </w:r>
      </w:ins>
      <w:ins w:id="10006" w:author="Z. Zukowski" w:date="2026-05-22T00:00:00Z">
        <w:r>
          <w:t xml:space="preserve"> </w:t>
        </w:r>
      </w:ins>
      <w:ins w:id="10006" w:author="Z. Zukowski" w:date="2026-05-22T00:00:00Z">
        <w:r>
          <w:t xml:space="preserve">protocol rules, treasury use, emission schedules, fee switches, upgrade</w:t>
        </w:r>
      </w:ins>
      <w:ins w:id="10006" w:author="Z. Zukowski" w:date="2026-05-22T00:00:00Z">
        <w:r>
          <w:t xml:space="preserve"> </w:t>
        </w:r>
      </w:ins>
      <w:ins w:id="10006" w:author="Z. Zukowski" w:date="2026-05-22T00:00:00Z">
        <w:r>
          <w:t xml:space="preserve">paths, and delegate programs. If voting weight is dispersed, token</w:t>
        </w:r>
      </w:ins>
      <w:ins w:id="10006" w:author="Z. Zukowski" w:date="2026-05-22T00:00:00Z">
        <w:r>
          <w:t xml:space="preserve"> </w:t>
        </w:r>
      </w:ins>
      <w:ins w:id="10006" w:author="Z. Zukowski" w:date="2026-05-22T00:00:00Z">
        <w:r>
          <w:t xml:space="preserve">governance can approximate broad participant control. If voting weight</w:t>
        </w:r>
      </w:ins>
      <w:ins w:id="10006" w:author="Z. Zukowski" w:date="2026-05-22T00:00:00Z">
        <w:r>
          <w:t xml:space="preserve"> </w:t>
        </w:r>
      </w:ins>
      <w:ins w:id="10006" w:author="Z. Zukowski" w:date="2026-05-22T00:00:00Z">
        <w:r>
          <w:t xml:space="preserve">concentrates, the same formal apparatus can place shared infrastructure</w:t>
        </w:r>
      </w:ins>
      <w:ins w:id="10006" w:author="Z. Zukowski" w:date="2026-05-22T00:00:00Z">
        <w:r>
          <w:t xml:space="preserve"> </w:t>
        </w:r>
      </w:ins>
      <w:ins w:id="10006" w:author="Z. Zukowski" w:date="2026-05-22T00:00:00Z">
        <w:r>
          <w:t xml:space="preserve">under the discretion of a small holder or delegate class.</w:t>
        </w:r>
      </w:ins>
    </w:p>
    <w:p>
      <w:pPr>
        <w:pStyle w:val="BodyText"/>
      </w:pPr>
      <w:ins w:id="10007" w:author="Z. Zukowski" w:date="2026-05-22T00:00:00Z">
        <w:r>
          <w:t xml:space="preserve">That makes the motivating question concrete: what shapes whether</w:t>
        </w:r>
      </w:ins>
      <w:ins w:id="10007" w:author="Z. Zukowski" w:date="2026-05-22T00:00:00Z">
        <w:r>
          <w:t xml:space="preserve"> </w:t>
        </w:r>
      </w:ins>
      <w:ins w:id="10007" w:author="Z. Zukowski" w:date="2026-05-22T00:00:00Z">
        <w:r>
          <w:t xml:space="preserve">governance power concentrates or distributes after launch? Three</w:t>
        </w:r>
      </w:ins>
      <w:ins w:id="10007" w:author="Z. Zukowski" w:date="2026-05-22T00:00:00Z">
        <w:r>
          <w:t xml:space="preserve"> </w:t>
        </w:r>
      </w:ins>
      <w:ins w:id="10007" w:author="Z. Zukowski" w:date="2026-05-22T00:00:00Z">
        <w:r>
          <w:t xml:space="preserve">candidate explanations dominate practitioner discourse: insider token</w:t>
        </w:r>
      </w:ins>
      <w:ins w:id="10007" w:author="Z. Zukowski" w:date="2026-05-22T00:00:00Z">
        <w:r>
          <w:t xml:space="preserve"> </w:t>
        </w:r>
      </w:ins>
      <w:ins w:id="10007" w:author="Z. Zukowski" w:date="2026-05-22T00:00:00Z">
        <w:r>
          <w:t xml:space="preserve">allocation concentrates power; subsidy dependence (high token emissions</w:t>
        </w:r>
      </w:ins>
      <w:ins w:id="10007" w:author="Z. Zukowski" w:date="2026-05-22T00:00:00Z">
        <w:r>
          <w:t xml:space="preserve"> </w:t>
        </w:r>
      </w:ins>
      <w:ins w:id="10007" w:author="Z. Zukowski" w:date="2026-05-22T00:00:00Z">
        <w:r>
          <w:t xml:space="preserve">relative to revenue) entrenches early holders; and younger protocols have</w:t>
        </w:r>
      </w:ins>
      <w:ins w:id="10007" w:author="Z. Zukowski" w:date="2026-05-22T00:00:00Z">
        <w:r>
          <w:t xml:space="preserve"> </w:t>
        </w:r>
      </w:ins>
      <w:ins w:id="10007" w:author="Z. Zukowski" w:date="2026-05-22T00:00:00Z">
        <w:r>
          <w:t xml:space="preserve">not yet had time to decentralize. This paper tests all three and finds</w:t>
        </w:r>
      </w:ins>
      <w:ins w:id="10007" w:author="Z. Zukowski" w:date="2026-05-22T00:00:00Z">
        <w:r>
          <w:t xml:space="preserve"> </w:t>
        </w:r>
      </w:ins>
      <w:ins w:id="10007" w:author="Z. Zukowski" w:date="2026-05-22T00:00:00Z">
        <w:r>
          <w:t xml:space="preserve">that none is sufficient as a standalone explanation of the</w:t>
        </w:r>
      </w:ins>
      <w:ins w:id="10007" w:author="Z. Zukowski" w:date="2026-05-22T00:00:00Z">
        <w:r>
          <w:t xml:space="preserve"> </w:t>
        </w:r>
      </w:ins>
      <w:ins w:id="10007" w:author="Z. Zukowski" w:date="2026-05-22T00:00:00Z">
        <w:r>
          <w:t xml:space="preserve">cross-sectional variation observed across fifty-two protocols. The deeper</w:t>
        </w:r>
      </w:ins>
      <w:ins w:id="10007" w:author="Z. Zukowski" w:date="2026-05-22T00:00:00Z">
        <w:r>
          <w:t xml:space="preserve"> </w:t>
        </w:r>
      </w:ins>
      <w:ins w:id="10007" w:author="Z. Zukowski" w:date="2026-05-22T00:00:00Z">
        <w:r>
          <w:t xml:space="preserve">problem is that all three explanations, and the decentralization claims</w:t>
        </w:r>
      </w:ins>
      <w:ins w:id="10007" w:author="Z. Zukowski" w:date="2026-05-22T00:00:00Z">
        <w:r>
          <w:t xml:space="preserve"> </w:t>
        </w:r>
      </w:ins>
      <w:ins w:id="10007" w:author="Z. Zukowski" w:date="2026-05-22T00:00:00Z">
        <w:r>
          <w:t xml:space="preserve">practitioners build on them, are routinely read off launch allocation</w:t>
        </w:r>
      </w:ins>
      <w:ins w:id="10007" w:author="Z. Zukowski" w:date="2026-05-22T00:00:00Z">
        <w:r>
          <w:t xml:space="preserve"> </w:t>
        </w:r>
      </w:ins>
      <w:ins w:id="10007" w:author="Z. Zukowski" w:date="2026-05-22T00:00:00Z">
        <w:r>
          <w:t xml:space="preserve">tables and raw holder lists: both are the wrong object for live</w:t>
        </w:r>
      </w:ins>
      <w:ins w:id="10007" w:author="Z. Zukowski" w:date="2026-05-22T00:00:00Z">
        <w:r>
          <w:t xml:space="preserve"> </w:t>
        </w:r>
      </w:ins>
      <w:ins w:id="10007" w:author="Z. Zukowski" w:date="2026-05-22T00:00:00Z">
        <w:r>
          <w:t xml:space="preserve">governance power. Token allocation is a launch document. Governance</w:t>
        </w:r>
      </w:ins>
      <w:ins w:id="10007" w:author="Z. Zukowski" w:date="2026-05-22T00:00:00Z">
        <w:r>
          <w:t xml:space="preserve"> </w:t>
        </w:r>
      </w:ins>
      <w:ins w:id="10007" w:author="Z. Zukowski" w:date="2026-05-22T00:00:00Z">
        <w:r>
          <w:t xml:space="preserve">concentration is a live institutional state. An audit that reasons from</w:t>
        </w:r>
      </w:ins>
      <w:ins w:id="10007" w:author="Z. Zukowski" w:date="2026-05-22T00:00:00Z">
        <w:r>
          <w:t xml:space="preserve"> </w:t>
        </w:r>
      </w:ins>
      <w:ins w:id="10007" w:author="Z. Zukowski" w:date="2026-05-22T00:00:00Z">
        <w:r>
          <w:t xml:space="preserve">initial tokenomics is reasoning from audit metadata, not from governance</w:t>
        </w:r>
      </w:ins>
      <w:ins w:id="10007" w:author="Z. Zukowski" w:date="2026-05-22T00:00:00Z">
        <w:r>
          <w:t xml:space="preserve"> </w:t>
        </w:r>
      </w:ins>
      <w:ins w:id="10007" w:author="Z. Zukowski" w:date="2026-05-22T00:00:00Z">
        <w:r>
          <w:t xml:space="preserve">evidence. The contrast tracks the distinction comparative political</w:t>
        </w:r>
      </w:ins>
      <w:ins w:id="10007" w:author="Z. Zukowski" w:date="2026-05-22T00:00:00Z">
        <w:r>
          <w:t xml:space="preserve"> </w:t>
        </w:r>
      </w:ins>
      <w:ins w:id="10007" w:author="Z. Zukowski" w:date="2026-05-22T00:00:00Z">
        <w:r>
          <w:t xml:space="preserve">economy draws between de jure and de facto power (Acemoglu &amp; Robinson,</w:t>
        </w:r>
      </w:ins>
      <w:ins w:id="10007" w:author="Z. Zukowski" w:date="2026-05-22T00:00:00Z">
        <w:r>
          <w:t xml:space="preserve"> </w:t>
        </w:r>
      </w:ins>
      <w:ins w:id="10007" w:author="Z. Zukowski" w:date="2026-05-22T00:00:00Z">
        <w:r>
          <w:t xml:space="preserve">2008): the formally specified allocation of authority is a different</w:t>
        </w:r>
      </w:ins>
      <w:ins w:id="10007" w:author="Z. Zukowski" w:date="2026-05-22T00:00:00Z">
        <w:r>
          <w:t xml:space="preserve"> </w:t>
        </w:r>
      </w:ins>
      <w:ins w:id="10007" w:author="Z. Zukowski" w:date="2026-05-22T00:00:00Z">
        <w:r>
          <w:t xml:space="preserve">object from the power that groups actually exercise once a system is</w:t>
        </w:r>
      </w:ins>
      <w:ins w:id="10007" w:author="Z. Zukowski" w:date="2026-05-22T00:00:00Z">
        <w:r>
          <w:t xml:space="preserve"> </w:t>
        </w:r>
      </w:ins>
      <w:ins w:id="10007" w:author="Z. Zukowski" w:date="2026-05-22T00:00:00Z">
        <w:r>
          <w:t xml:space="preserve">live.</w:t>
        </w:r>
      </w:ins>
    </w:p>
    <w:p>
      <w:pPr>
        <w:pStyle w:val="BodyText"/>
      </w:pPr>
      <w:ins w:id="10008" w:author="Z. Zukowski" w:date="2026-05-22T00:00:00Z">
        <w:r>
          <w:t xml:space="preserve">Two empirical contrasts illustrate why the candidate explanations fail.</w:t>
        </w:r>
      </w:ins>
      <w:ins w:id="10008" w:author="Z. Zukowski" w:date="2026-05-22T00:00:00Z">
        <w:r>
          <w:t xml:space="preserve"> </w:t>
        </w:r>
      </w:ins>
      <w:ins w:id="10008" w:author="Z. Zukowski" w:date="2026-05-22T00:00:00Z">
        <w:r>
          <w:t xml:space="preserve">Both ENS and DIMO let token holders delegate their voting power, yet the</w:t>
        </w:r>
      </w:ins>
      <w:ins w:id="10008" w:author="Z. Zukowski" w:date="2026-05-22T00:00:00Z">
        <w:r>
          <w:t xml:space="preserve"> </w:t>
        </w:r>
      </w:ins>
      <w:ins w:id="10008" w:author="Z. Zukowski" w:date="2026-05-22T00:00:00Z">
        <w:r>
          <w:t xml:space="preserve">two protocols produce opposite governance concentration outcomes. ENS</w:t>
        </w:r>
      </w:ins>
      <w:ins w:id="10008" w:author="Z. Zukowski" w:date="2026-05-22T00:00:00Z">
        <w:r>
          <w:t xml:space="preserve"> </w:t>
        </w:r>
      </w:ins>
      <w:ins w:id="10008" w:author="Z. Zukowski" w:date="2026-05-22T00:00:00Z">
        <w:r>
          <w:t xml:space="preserve">(the Ethereum Name Service) funds roughly 100 active community delegates,</w:t>
        </w:r>
      </w:ins>
      <w:ins w:id="10008" w:author="Z. Zukowski" w:date="2026-05-22T00:00:00Z">
        <w:r>
          <w:t xml:space="preserve"> </w:t>
        </w:r>
      </w:ins>
      <w:ins w:id="10008" w:author="Z. Zukowski" w:date="2026-05-22T00:00:00Z">
        <w:r>
          <w:t xml:space="preserve">and the resulting voting-power distribution is less concentrated than the</w:t>
        </w:r>
      </w:ins>
      <w:ins w:id="10008" w:author="Z. Zukowski" w:date="2026-05-22T00:00:00Z">
        <w:r>
          <w:t xml:space="preserve"> </w:t>
        </w:r>
      </w:ins>
      <w:ins w:id="10008" w:author="Z. Zukowski" w:date="2026-05-22T00:00:00Z">
        <w:r>
          <w:t xml:space="preserve">underlying token holdings (voting-to-holding amplification ratio 0.48x;</w:t>
        </w:r>
      </w:ins>
      <w:ins w:id="10008" w:author="Z. Zukowski" w:date="2026-05-22T00:00:00Z">
        <w:r>
          <w:t xml:space="preserve"> </w:t>
        </w:r>
      </w:ins>
      <w:ins w:id="10008" w:author="Z. Zukowski" w:date="2026-05-22T00:00:00Z">
        <w:r>
          <w:t xml:space="preserve">ratios below 1.0 mean delegation disperses governance power relative to</w:t>
        </w:r>
      </w:ins>
      <w:ins w:id="10008" w:author="Z. Zukowski" w:date="2026-05-22T00:00:00Z">
        <w:r>
          <w:t xml:space="preserve"> </w:t>
        </w:r>
      </w:ins>
      <w:ins w:id="10008" w:author="Z. Zukowski" w:date="2026-05-22T00:00:00Z">
        <w:r>
          <w:t xml:space="preserve">the holding baseline). DIMO, a vehicle-data DePIN protocol, has ten</w:t>
        </w:r>
      </w:ins>
      <w:ins w:id="10008" w:author="Z. Zukowski" w:date="2026-05-22T00:00:00Z">
        <w:r>
          <w:t xml:space="preserve"> </w:t>
        </w:r>
      </w:ins>
      <w:ins w:id="10008" w:author="Z. Zukowski" w:date="2026-05-22T00:00:00Z">
        <w:r>
          <w:t xml:space="preserve">active voters across the most recent twelve months, and its voting-power</w:t>
        </w:r>
      </w:ins>
      <w:ins w:id="10008" w:author="Z. Zukowski" w:date="2026-05-22T00:00:00Z">
        <w:r>
          <w:t xml:space="preserve"> </w:t>
        </w:r>
      </w:ins>
      <w:ins w:id="10008" w:author="Z. Zukowski" w:date="2026-05-22T00:00:00Z">
        <w:r>
          <w:t xml:space="preserve">distribution is 9.1 times more concentrated than its token holdings</w:t>
        </w:r>
      </w:ins>
      <w:ins w:id="10008" w:author="Z. Zukowski" w:date="2026-05-22T00:00:00Z">
        <w:r>
          <w:t xml:space="preserve"> </w:t>
        </w:r>
      </w:ins>
      <w:ins w:id="10008" w:author="Z. Zukowski" w:date="2026-05-22T00:00:00Z">
        <w:r>
          <w:t xml:space="preserve">(amplification ratio 9.1x). Across the eighteen-protocol governance</w:t>
        </w:r>
      </w:ins>
      <w:ins w:id="10008" w:author="Z. Zukowski" w:date="2026-05-22T00:00:00Z">
        <w:r>
          <w:t xml:space="preserve"> </w:t>
        </w:r>
      </w:ins>
      <w:ins w:id="10008" w:author="Z. Zukowski" w:date="2026-05-22T00:00:00Z">
        <w:r>
          <w:t xml:space="preserve">sample studied here, delegation amplifies concentration in thirteen of</w:t>
        </w:r>
      </w:ins>
      <w:ins w:id="10008" w:author="Z. Zukowski" w:date="2026-05-22T00:00:00Z">
        <w:r>
          <w:t xml:space="preserve"> </w:t>
        </w:r>
      </w:ins>
      <w:ins w:id="10008" w:author="Z. Zukowski" w:date="2026-05-22T00:00:00Z">
        <w:r>
          <w:t xml:space="preserve">eighteen protocols (range 2.5x to 25.6x above the holding baseline), with</w:t>
        </w:r>
      </w:ins>
      <w:ins w:id="10008" w:author="Z. Zukowski" w:date="2026-05-22T00:00:00Z">
        <w:r>
          <w:t xml:space="preserve"> </w:t>
        </w:r>
      </w:ins>
      <w:ins w:id="10008" w:author="Z. Zukowski" w:date="2026-05-22T00:00:00Z">
        <w:r>
          <w:t xml:space="preserve">five structural exceptions on the dispersing side (ENS 0.48x, GMX 0.87x,</w:t>
        </w:r>
      </w:ins>
      <w:ins w:id="10008" w:author="Z. Zukowski" w:date="2026-05-22T00:00:00Z">
        <w:r>
          <w:t xml:space="preserve"> </w:t>
        </w:r>
      </w:ins>
      <w:ins w:id="10008" w:author="Z. Zukowski" w:date="2026-05-22T00:00:00Z">
        <w:r>
          <w:t xml:space="preserve">HNT 0.26x to 0.39x, JUP 0.12x, LPT 0.27x; Section 4.5). The cross-protocol</w:t>
        </w:r>
      </w:ins>
      <w:ins w:id="10008" w:author="Z. Zukowski" w:date="2026-05-22T00:00:00Z">
        <w:r>
          <w:t xml:space="preserve"> </w:t>
        </w:r>
      </w:ins>
      <w:ins w:id="10008" w:author="Z. Zukowski" w:date="2026-05-22T00:00:00Z">
        <w:r>
          <w:t xml:space="preserve">variation is associated not with sector membership or governance venue but with institutional design choices at the delegate-program level: how many</w:t>
        </w:r>
      </w:ins>
      <w:ins w:id="10008" w:author="Z. Zukowski" w:date="2026-05-22T00:00:00Z">
        <w:r>
          <w:t xml:space="preserve"> </w:t>
        </w:r>
      </w:ins>
      <w:ins w:id="10008" w:author="Z. Zukowski" w:date="2026-05-22T00:00:00Z">
        <w:r>
          <w:t xml:space="preserve">community delegates the protocol funds, how voting power flows from</w:t>
        </w:r>
      </w:ins>
      <w:ins w:id="10008" w:author="Z. Zukowski" w:date="2026-05-22T00:00:00Z">
        <w:r>
          <w:t xml:space="preserve"> </w:t>
        </w:r>
      </w:ins>
      <w:ins w:id="10008" w:author="Z. Zukowski" w:date="2026-05-22T00:00:00Z">
        <w:r>
          <w:t xml:space="preserve">holders to delegates, and what incentives shape delegate participation</w:t>
        </w:r>
      </w:ins>
      <w:ins w:id="10008" w:author="Z. Zukowski" w:date="2026-05-22T00:00:00Z">
        <w:r>
          <w:t xml:space="preserve"> </w:t>
        </w:r>
      </w:ins>
      <w:ins w:id="10008" w:author="Z. Zukowski" w:date="2026-05-22T00:00:00Z">
        <w:r>
          <w:t xml:space="preserve">(Section 5.2).</w:t>
        </w:r>
      </w:ins>
    </w:p>
    <w:p>
      <w:pPr>
        <w:pStyle w:val="BodyText"/>
      </w:pPr>
      <w:ins w:id="10009" w:author="Z. Zukowski" w:date="2026-05-22T00:00:00Z">
        <w:r>
          <w:t xml:space="preserve">A parallel pattern emerges for subsidy economics: financial</w:t>
        </w:r>
      </w:ins>
      <w:ins w:id="10009" w:author="Z. Zukowski" w:date="2026-05-22T00:00:00Z">
        <w:r>
          <w:t xml:space="preserve"> </w:t>
        </w:r>
      </w:ins>
      <w:ins w:id="10009"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9" w:author="Z. Zukowski" w:date="2026-05-22T00:00:00Z">
        <w:r>
          <w:t xml:space="preserve"> </w:t>
        </w:r>
      </w:ins>
      <w:ins w:id="10009" w:author="Z. Zukowski" w:date="2026-05-22T00:00:00Z">
        <w:r>
          <w:t xml:space="preserve">emerges as a secondary market outcome, shaped by post-distribution</w:t>
        </w:r>
      </w:ins>
      <w:ins w:id="10009" w:author="Z. Zukowski" w:date="2026-05-22T00:00:00Z">
        <w:r>
          <w:t xml:space="preserve"> </w:t>
        </w:r>
      </w:ins>
      <w:ins w:id="10009" w:author="Z. Zukowski" w:date="2026-05-22T00:00:00Z">
        <w:r>
          <w:t xml:space="preserve">trading and accumulation dynamics that neither allocation design nor</w:t>
        </w:r>
      </w:ins>
      <w:ins w:id="10009" w:author="Z. Zukowski" w:date="2026-05-22T00:00:00Z">
        <w:r>
          <w:t xml:space="preserve"> </w:t>
        </w:r>
      </w:ins>
      <w:ins w:id="10009" w:author="Z. Zukowski" w:date="2026-05-22T00:00:00Z">
        <w:r>
          <w:t xml:space="preserve">protocol financial characteristics explain in this cross-section. The</w:t>
        </w:r>
      </w:ins>
      <w:ins w:id="10009" w:author="Z. Zukowski" w:date="2026-05-22T00:00:00Z">
        <w:r>
          <w:t xml:space="preserve"> </w:t>
        </w:r>
      </w:ins>
      <w:ins w:id="10009" w:author="Z. Zukowski" w:date="2026-05-22T00:00:00Z">
        <w:r>
          <w:t xml:space="preserve">allocation result is therefore best read as a practice correction rather</w:t>
        </w:r>
      </w:ins>
      <w:ins w:id="10009" w:author="Z. Zukowski" w:date="2026-05-22T00:00:00Z">
        <w:r>
          <w:t xml:space="preserve"> </w:t>
        </w:r>
      </w:ins>
      <w:ins w:id="10009" w:author="Z. Zukowski" w:date="2026-05-22T00:00:00Z">
        <w:r>
          <w:t xml:space="preserve">than a bare null: it tells auditors that initial tokenomics is metadata</w:t>
        </w:r>
      </w:ins>
      <w:ins w:id="10009" w:author="Z. Zukowski" w:date="2026-05-22T00:00:00Z">
        <w:r>
          <w:t xml:space="preserve"> </w:t>
        </w:r>
      </w:ins>
      <w:ins w:id="10009" w:author="Z. Zukowski" w:date="2026-05-22T00:00:00Z">
        <w:r>
          <w:t xml:space="preserve">about a launch, not evidence about who holds governance power today.</w:t>
        </w:r>
      </w:ins>
    </w:p>
    <w:p>
      <w:pPr>
        <w:pStyle w:val="BodyText"/>
      </w:pPr>
      <w:ins w:id="10010" w:author="Z. Zukowski" w:date="2026-05-22T00:00:00Z">
        <w:r>
          <w:t xml:space="preserve">Read through the legal-governance theory of Pagallo, Casanovas,</w:t>
        </w:r>
      </w:ins>
      <w:ins w:id="10010" w:author="Z. Zukowski" w:date="2026-05-22T00:00:00Z">
        <w:r>
          <w:t xml:space="preserve"> </w:t>
        </w:r>
      </w:ins>
      <w:ins w:id="10010" w:author="Z. Zukowski" w:date="2026-05-22T00:00:00Z">
        <w:r>
          <w:t xml:space="preserve">and Madelin (2019), this post-distribution character places</w:t>
        </w:r>
      </w:ins>
      <w:ins w:id="10010" w:author="Z. Zukowski" w:date="2026-05-22T00:00:00Z">
        <w:r>
          <w:t xml:space="preserve"> </w:t>
        </w:r>
      </w:ins>
      <w:ins w:id="10010" w:author="Z. Zukowski" w:date="2026-05-22T00:00:00Z">
        <w:r>
          <w:t xml:space="preserve">governance concentration at a middle-out interface between</w:t>
        </w:r>
      </w:ins>
      <w:ins w:id="10010" w:author="Z. Zukowski" w:date="2026-05-22T00:00:00Z">
        <w:r>
          <w:t xml:space="preserve"> </w:t>
        </w:r>
      </w:ins>
      <w:ins w:id="10010" w:author="Z. Zukowski" w:date="2026-05-22T00:00:00Z">
        <w:r>
          <w:t xml:space="preserve">bottom-up self-regulation (code and market accumulation) and</w:t>
        </w:r>
      </w:ins>
      <w:ins w:id="10010" w:author="Z. Zukowski" w:date="2026-05-22T00:00:00Z">
        <w:r>
          <w:t xml:space="preserve"> </w:t>
        </w:r>
      </w:ins>
      <w:ins w:id="10010" w:author="Z. Zukowski" w:date="2026-05-22T00:00:00Z">
        <w:r>
          <w:t xml:space="preserve">top-down mandate, where neither pure code-as-law nor external</w:t>
        </w:r>
      </w:ins>
      <w:ins w:id="10010" w:author="Z. Zukowski" w:date="2026-05-22T00:00:00Z">
        <w:r>
          <w:t xml:space="preserve"> </w:t>
        </w:r>
      </w:ins>
      <w:ins w:id="10010" w:author="Z. Zukowski" w:date="2026-05-22T00:00:00Z">
        <w:r>
          <w:t xml:space="preserve">rule-making alone fixes who can exercise voting power.</w:t>
        </w:r>
      </w:ins>
      <w:ins w:id="10010" w:author="Z. Zukowski" w:date="2026-05-22T00:00:00Z">
        <w:r>
          <w:t xml:space="preserve"> </w:t>
        </w:r>
      </w:ins>
      <w:ins w:id="10010" w:author="Z. Zukowski" w:date="2026-05-22T00:00:00Z">
        <w:r>
          <w:t xml:space="preserve">Concentration is the equilibrium that delegation,</w:t>
        </w:r>
      </w:ins>
      <w:ins w:id="10010" w:author="Z. Zukowski" w:date="2026-05-22T00:00:00Z">
        <w:r>
          <w:t xml:space="preserve"> </w:t>
        </w:r>
      </w:ins>
      <w:ins w:id="10010" w:author="Z. Zukowski" w:date="2026-05-22T00:00:00Z">
        <w:r>
          <w:t xml:space="preserve">voting-mechanism, and insider-retention choices produce at that</w:t>
        </w:r>
      </w:ins>
      <w:ins w:id="10010" w:author="Z. Zukowski" w:date="2026-05-22T00:00:00Z">
        <w:r>
          <w:t xml:space="preserve"> </w:t>
        </w:r>
      </w:ins>
      <w:ins w:id="10010" w:author="Z. Zukowski" w:date="2026-05-22T00:00:00Z">
        <w:r>
          <w:t xml:space="preserve">intermediate layer.</w:t>
        </w:r>
      </w:ins>
    </w:p>
    <w:p>
      <w:pPr>
        <w:pStyle w:val="BodyText"/>
      </w:pPr>
      <w:ins w:id="10011" w:author="Z. Zukowski" w:date="2026-05-22T00:00:00Z">
        <w:r>
          <w:t xml:space="preserve">That concentration is a market outcome rather than a launch artifact</w:t>
        </w:r>
      </w:ins>
      <w:ins w:id="10011" w:author="Z. Zukowski" w:date="2026-05-22T00:00:00Z">
        <w:r>
          <w:t xml:space="preserve"> </w:t>
        </w:r>
      </w:ins>
      <w:ins w:id="10011" w:author="Z. Zukowski" w:date="2026-05-22T00:00:00Z">
        <w:r>
          <w:t xml:space="preserve">matters normatively as well as descriptively. On a republican view of</w:t>
        </w:r>
      </w:ins>
      <w:ins w:id="10011" w:author="Z. Zukowski" w:date="2026-05-22T00:00:00Z">
        <w:r>
          <w:t xml:space="preserve"> </w:t>
        </w:r>
      </w:ins>
      <w:ins w:id="10011" w:author="Z. Zukowski" w:date="2026-05-22T00:00:00Z">
        <w:r>
          <w:t xml:space="preserve">freedom as the absence of subjection to another’s arbitrary power, the</w:t>
        </w:r>
      </w:ins>
      <w:ins w:id="10011" w:author="Z. Zukowski" w:date="2026-05-22T00:00:00Z">
        <w:r>
          <w:t xml:space="preserve"> </w:t>
        </w:r>
      </w:ins>
      <w:ins w:id="10011" w:author="Z. Zukowski" w:date="2026-05-22T00:00:00Z">
        <w:r>
          <w:t xml:space="preserve">relevant question is not whether concentrated holders have in fact</w:t>
        </w:r>
      </w:ins>
      <w:ins w:id="10011" w:author="Z. Zukowski" w:date="2026-05-22T00:00:00Z">
        <w:r>
          <w:t xml:space="preserve"> </w:t>
        </w:r>
      </w:ins>
      <w:ins w:id="10011" w:author="Z. Zukowski" w:date="2026-05-22T00:00:00Z">
        <w:r>
          <w:t xml:space="preserve">interfered but whether they hold the standing capacity to alter the</w:t>
        </w:r>
      </w:ins>
      <w:ins w:id="10011" w:author="Z. Zukowski" w:date="2026-05-22T00:00:00Z">
        <w:r>
          <w:t xml:space="preserve"> </w:t>
        </w:r>
      </w:ins>
      <w:ins w:id="10011" w:author="Z. Zukowski" w:date="2026-05-22T00:00:00Z">
        <w:r>
          <w:t xml:space="preserve">rules unilaterally; concentrated voting weight constitutes exactly that</w:t>
        </w:r>
      </w:ins>
      <w:ins w:id="10011" w:author="Z. Zukowski" w:date="2026-05-22T00:00:00Z">
        <w:r>
          <w:t xml:space="preserve"> </w:t>
        </w:r>
      </w:ins>
      <w:ins w:id="10011" w:author="Z. Zukowski" w:date="2026-05-22T00:00:00Z">
        <w:r>
          <w:t xml:space="preserve">capacity. The Neo-Brandeisian tradition associated with Khan (2017) and</w:t>
        </w:r>
      </w:ins>
      <w:ins w:id="10011" w:author="Z. Zukowski" w:date="2026-05-22T00:00:00Z">
        <w:r>
          <w:t xml:space="preserve"> </w:t>
        </w:r>
      </w:ins>
      <w:ins w:id="10011" w:author="Z. Zukowski" w:date="2026-05-22T00:00:00Z">
        <w:r>
          <w:t xml:space="preserve">Wu (2018) treats such structural power over shared infrastructure as a</w:t>
        </w:r>
      </w:ins>
      <w:ins w:id="10011" w:author="Z. Zukowski" w:date="2026-05-22T00:00:00Z">
        <w:r>
          <w:t xml:space="preserve"> </w:t>
        </w:r>
      </w:ins>
      <w:ins w:id="10011" w:author="Z. Zukowski" w:date="2026-05-22T00:00:00Z">
        <w:r>
          <w:t xml:space="preserve">harm worth scrutiny on political-economy terms, independent of whether</w:t>
        </w:r>
      </w:ins>
      <w:ins w:id="10011" w:author="Z. Zukowski" w:date="2026-05-22T00:00:00Z">
        <w:r>
          <w:t xml:space="preserve"> </w:t>
        </w:r>
      </w:ins>
      <w:ins w:id="10011" w:author="Z. Zukowski" w:date="2026-05-22T00:00:00Z">
        <w:r>
          <w:t xml:space="preserve">any single decision has visibly harmed participants. Concentration</w:t>
        </w:r>
      </w:ins>
      <w:ins w:id="10011" w:author="Z. Zukowski" w:date="2026-05-22T00:00:00Z">
        <w:r>
          <w:t xml:space="preserve"> </w:t>
        </w:r>
      </w:ins>
      <w:ins w:id="10011" w:author="Z. Zukowski" w:date="2026-05-22T00:00:00Z">
        <w:r>
          <w:t xml:space="preserve">measured after correction is therefore the object of scrutiny</w:t>
        </w:r>
      </w:ins>
      <w:ins w:id="10011" w:author="Z. Zukowski" w:date="2026-05-22T00:00:00Z">
        <w:r>
          <w:t xml:space="preserve"> </w:t>
        </w:r>
      </w:ins>
      <w:ins w:id="10011" w:author="Z. Zukowski" w:date="2026-05-22T00:00:00Z">
        <w:r>
          <w:t xml:space="preserve">regardless of how the holders have so far chosen to use it.</w:t>
        </w:r>
      </w:ins>
    </w:p>
    <w:p>
      <w:pPr>
        <w:pStyle w:val="BodyText"/>
      </w:pPr>
      <w:ins w:id="10012" w:author="Z. Zukowski" w:date="2026-05-22T00:00:00Z">
        <w:r>
          <w:t xml:space="preserve">The measurement instrument that makes every downstream result credible is</w:t>
        </w:r>
      </w:ins>
      <w:ins w:id="10012" w:author="Z. Zukowski" w:date="2026-05-22T00:00:00Z">
        <w:r>
          <w:t xml:space="preserve"> </w:t>
        </w:r>
      </w:ins>
      <w:ins w:id="10012" w:author="Z. Zukowski" w:date="2026-05-22T00:00:00Z">
        <w:r>
          <w:t xml:space="preserve">the PCA correction: before any covariate can be tested, the holder list</w:t>
        </w:r>
      </w:ins>
      <w:ins w:id="10012" w:author="Z. Zukowski" w:date="2026-05-22T00:00:00Z">
        <w:r>
          <w:t xml:space="preserve"> </w:t>
        </w:r>
      </w:ins>
      <w:ins w:id="10012" w:author="Z. Zukowski" w:date="2026-05-22T00:00:00Z">
        <w:r>
          <w:t xml:space="preserve">has to be classified by control status, separating independent governance holders from addresses that hold tokens but structurally cannot</w:t>
        </w:r>
      </w:ins>
      <w:ins w:id="10012" w:author="Z. Zukowski" w:date="2026-05-22T00:00:00Z">
        <w:r>
          <w:t xml:space="preserve"> </w:t>
        </w:r>
      </w:ins>
      <w:ins w:id="10012" w:author="Z. Zukowski" w:date="2026-05-22T00:00:00Z">
        <w:r>
          <w:t xml:space="preserve">vote. We construct a 52-protocol governance concentration dataset spanning</w:t>
        </w:r>
      </w:ins>
      <w:ins w:id="10012" w:author="Z. Zukowski" w:date="2026-05-22T00:00:00Z">
        <w:r>
          <w:t xml:space="preserve"> </w:t>
        </w:r>
      </w:ins>
      <w:ins w:id="10012" w:author="Z. Zukowski" w:date="2026-05-22T00:00:00Z">
        <w:r>
          <w:t xml:space="preserve">DePIN and DeFi. We develop a Blockscout-verified (a blockchain contract</w:t>
        </w:r>
      </w:ins>
      <w:ins w:id="10012" w:author="Z. Zukowski" w:date="2026-05-22T00:00:00Z">
        <w:r>
          <w:t xml:space="preserve"> </w:t>
        </w:r>
      </w:ins>
      <w:ins w:id="10012" w:author="Z. Zukowski" w:date="2026-05-22T00:00:00Z">
        <w:r>
          <w:t xml:space="preserve">verification tool) exclusion methodology to remove 133</w:t>
        </w:r>
      </w:ins>
      <w:ins w:id="10012" w:author="Z. Zukowski" w:date="2026-05-22T00:00:00Z">
        <w:r>
          <w:t xml:space="preserve"> </w:t>
        </w:r>
      </w:ins>
      <w:ins w:id="10012" w:author="Z. Zukowski" w:date="2026-05-22T00:00:00Z">
        <w:r>
          <w:t xml:space="preserve">protocol-controlled-address exclusions (PCAs; addresses that appear on holder</w:t>
        </w:r>
      </w:ins>
      <w:ins w:id="10012" w:author="Z. Zukowski" w:date="2026-05-22T00:00:00Z">
        <w:r>
          <w:t xml:space="preserve"> </w:t>
        </w:r>
      </w:ins>
      <w:ins w:id="10012" w:author="Z. Zukowski" w:date="2026-05-22T00:00:00Z">
        <w:r>
          <w:t xml:space="preserve">lists but structurally cannot vote, including staking contracts that</w:t>
        </w:r>
      </w:ins>
      <w:ins w:id="10012" w:author="Z. Zukowski" w:date="2026-05-22T00:00:00Z">
        <w:r>
          <w:t xml:space="preserve"> </w:t>
        </w:r>
      </w:ins>
      <w:ins w:id="10012" w:author="Z. Zukowski" w:date="2026-05-22T00:00:00Z">
        <w:r>
          <w:t xml:space="preserve">hold tokens on behalf of stakers, exchange custodians that custody</w:t>
        </w:r>
      </w:ins>
      <w:ins w:id="10012" w:author="Z. Zukowski" w:date="2026-05-22T00:00:00Z">
        <w:r>
          <w:t xml:space="preserve"> </w:t>
        </w:r>
      </w:ins>
      <w:ins w:id="10012" w:author="Z. Zukowski" w:date="2026-05-22T00:00:00Z">
        <w:r>
          <w:t xml:space="preserve">customer deposits, vesting locks that release tokens to insiders over</w:t>
        </w:r>
      </w:ins>
      <w:ins w:id="10012" w:author="Z. Zukowski" w:date="2026-05-22T00:00:00Z">
        <w:r>
          <w:t xml:space="preserve"> </w:t>
        </w:r>
      </w:ins>
      <w:ins w:id="10012" w:author="Z. Zukowski" w:date="2026-05-22T00:00:00Z">
        <w:r>
          <w:t xml:space="preserve">time, and protocol treasuries) from HHI computation. We then test every available</w:t>
        </w:r>
      </w:ins>
      <w:ins w:id="10012" w:author="Z. Zukowski" w:date="2026-05-22T00:00:00Z">
        <w:r>
          <w:t xml:space="preserve"> </w:t>
        </w:r>
      </w:ins>
      <w:ins w:id="10012" w:author="Z. Zukowski" w:date="2026-05-22T00:00:00Z">
        <w:r>
          <w:t xml:space="preserve">cross-sectional covariate of concentration using both parametric and</w:t>
        </w:r>
      </w:ins>
      <w:ins w:id="10012" w:author="Z. Zukowski" w:date="2026-05-22T00:00:00Z">
        <w:r>
          <w:t xml:space="preserve"> </w:t>
        </w:r>
      </w:ins>
      <w:ins w:id="10012" w:author="Z. Zukowski" w:date="2026-05-22T00:00:00Z">
        <w:r>
          <w:t xml:space="preserve">rank-based methods.</w:t>
        </w:r>
      </w:ins>
    </w:p>
    <w:p>
      <w:pPr>
        <w:pStyle w:val="BodyText"/>
      </w:pPr>
      <w:ins w:id="10013" w:author="Z. Zukowski" w:date="2026-05-22T00:00:00Z">
        <w:r>
          <w:t xml:space="preserve">Four empirical contributions emerge, and they read as a sequence: naive</w:t>
        </w:r>
      </w:ins>
      <w:ins w:id="10013" w:author="Z. Zukowski" w:date="2026-05-22T00:00:00Z">
        <w:r>
          <w:t xml:space="preserve"> </w:t>
        </w:r>
      </w:ins>
      <w:ins w:id="10013" w:author="Z. Zukowski" w:date="2026-05-22T00:00:00Z">
        <w:r>
          <w:t xml:space="preserve">holder lists are contaminated by addresses that cannot vote; once the</w:t>
        </w:r>
      </w:ins>
      <w:ins w:id="10013" w:author="Z. Zukowski" w:date="2026-05-22T00:00:00Z">
        <w:r>
          <w:t xml:space="preserve"> </w:t>
        </w:r>
      </w:ins>
      <w:ins w:id="10013" w:author="Z. Zukowski" w:date="2026-05-22T00:00:00Z">
        <w:r>
          <w:t xml:space="preserve">holder list is corrected, launch allocation turns out to be uninformative</w:t>
        </w:r>
      </w:ins>
      <w:ins w:id="10013" w:author="Z. Zukowski" w:date="2026-05-22T00:00:00Z">
        <w:r>
          <w:t xml:space="preserve"> </w:t>
        </w:r>
      </w:ins>
      <w:ins w:id="10013" w:author="Z. Zukowski" w:date="2026-05-22T00:00:00Z">
        <w:r>
          <w:t xml:space="preserve">about current concentration; current institutional structure (sector and insider retention) is the more informative correlate; and delegation design can amplify voting concentration above the holding baseline. The first two are the central contributions: the corrected-measurement method, and the contrast between an uninformative launch-allocation design and an informative current insider-retention mechanism. The DePIN-versus-DeFi sector difference and the delegation-amplification pattern are secondary, directionally robust illustrations of the same post-distribution thesis, the sector contrast medium in magnitude with test-dependent significance. First, naive token holder lists include addresses</w:t>
        </w:r>
      </w:ins>
      <w:ins w:id="10013" w:author="Z. Zukowski" w:date="2026-05-22T00:00:00Z">
        <w:r>
          <w:t xml:space="preserve"> </w:t>
        </w:r>
      </w:ins>
      <w:ins w:id="10013" w:author="Z. Zukowski" w:date="2026-05-22T00:00:00Z">
        <w:r>
          <w:t xml:space="preserve">that cannot vote: staking contracts, exchange custodians, vesting locks,</w:t>
        </w:r>
      </w:ins>
      <w:ins w:id="10013" w:author="Z. Zukowski" w:date="2026-05-22T00:00:00Z">
        <w:r>
          <w:t xml:space="preserve"> </w:t>
        </w:r>
      </w:ins>
      <w:ins w:id="10013" w:author="Z. Zukowski" w:date="2026-05-22T00:00:00Z">
        <w:r>
          <w:t xml:space="preserve">and protocol treasuries. Across 38 protocols, 133 such protocol-controlled-address</w:t>
        </w:r>
      </w:ins>
      <w:ins w:id="10013" w:author="Z. Zukowski" w:date="2026-05-22T00:00:00Z">
        <w:r>
          <w:t xml:space="preserve"> </w:t>
        </w:r>
      </w:ins>
      <w:ins w:id="10013" w:author="Z. Zukowski" w:date="2026-05-22T00:00:00Z">
        <w:r>
          <w:t xml:space="preserve">exclusions (125 unique addresses; five recur across multiple protocols,</w:t>
        </w:r>
      </w:ins>
      <w:ins w:id="10013" w:author="Z. Zukowski" w:date="2026-05-22T00:00:00Z">
        <w:r>
          <w:t xml:space="preserve"> </w:t>
        </w:r>
      </w:ins>
      <w:ins w:id="10013" w:author="Z. Zukowski" w:date="2026-05-22T00:00:00Z">
        <w:r>
          <w:t xml:space="preserve">e.g., Binance 8 hot wallet across four tokens) inflated affected</w:t>
        </w:r>
      </w:ins>
      <w:ins w:id="10013" w:author="Z. Zukowski" w:date="2026-05-22T00:00:00Z">
        <w:r>
          <w:t xml:space="preserve"> </w:t>
        </w:r>
      </w:ins>
      <w:ins w:id="10013" w:author="Z. Zukowski" w:date="2026-05-22T00:00:00Z">
        <w:r>
          <w:t xml:space="preserve">protocols’ HHI in prior concentration measurements by up to 18x (RENDER,</w:t>
        </w:r>
      </w:ins>
      <w:ins w:id="10013" w:author="Z. Zukowski" w:date="2026-05-22T00:00:00Z">
        <w:r>
          <w:t xml:space="preserve"> </w:t>
        </w:r>
      </w:ins>
      <w:ins w:id="10013" w:author="Z. Zukowski" w:date="2026-05-22T00:00:00Z">
        <w:r>
          <w:t xml:space="preserve">where Wormhole Token Bridge custody dominated naive top-1,000 holdings;</w:t>
        </w:r>
      </w:ins>
      <w:ins w:id="10013" w:author="Z. Zukowski" w:date="2026-05-22T00:00:00Z">
        <w:r>
          <w:t xml:space="preserve"> </w:t>
        </w:r>
      </w:ins>
      <w:ins w:id="10013" w:author="Z. Zukowski" w:date="2026-05-22T00:00:00Z">
        <w:r>
          <w:t xml:space="preserve">median inflation factor 2.3x across 32 protocols with complete</w:t>
        </w:r>
      </w:ins>
      <w:ins w:id="10013" w:author="Z. Zukowski" w:date="2026-05-22T00:00:00Z">
        <w:r>
          <w:t xml:space="preserve"> </w:t>
        </w:r>
      </w:ins>
      <w:ins w:id="10013" w:author="Z. Zukowski" w:date="2026-05-22T00:00:00Z">
        <w:r>
          <w:t xml:space="preserve">pre-exclusion and post-exclusion HHI logged). The methodology generalizes</w:t>
        </w:r>
      </w:ins>
      <w:ins w:id="10013" w:author="Z. Zukowski" w:date="2026-05-22T00:00:00Z">
        <w:r>
          <w:t xml:space="preserve"> </w:t>
        </w:r>
      </w:ins>
      <w:ins w:id="10013" w:author="Z. Zukowski" w:date="2026-05-22T00:00:00Z">
        <w:r>
          <w:t xml:space="preserve">via the five-class typology in Section 3.8, supporting uniform replication</w:t>
        </w:r>
      </w:ins>
      <w:ins w:id="10013" w:author="Z. Zukowski" w:date="2026-05-22T00:00:00Z">
        <w:r>
          <w:t xml:space="preserve"> </w:t>
        </w:r>
      </w:ins>
      <w:ins w:id="10013" w:author="Z. Zukowski" w:date="2026-05-22T00:00:00Z">
        <w:r>
          <w:t xml:space="preserve">across ERC-20 and SPL token-governance datasets. Second, initial allocation</w:t>
        </w:r>
      </w:ins>
      <w:ins w:id="10013" w:author="Z. Zukowski" w:date="2026-05-22T00:00:00Z">
        <w:r>
          <w:t xml:space="preserve"> </w:t>
        </w:r>
      </w:ins>
      <w:ins w:id="10013" w:author="Z. Zukowski" w:date="2026-05-22T00:00:00Z">
        <w:r>
          <w:t xml:space="preserve">design is uninformative about concentration while current insider wallet</w:t>
        </w:r>
      </w:ins>
      <w:ins w:id="10013" w:author="Z. Zukowski" w:date="2026-05-22T00:00:00Z">
        <w:r>
          <w:t xml:space="preserve"> </w:t>
        </w:r>
      </w:ins>
      <w:ins w:id="10013" w:author="Z. Zukowski" w:date="2026-05-22T00:00:00Z">
        <w:r>
          <w:t xml:space="preserve">retention is associated with concentration (Spearman rho = 0.44, p =</w:t>
        </w:r>
      </w:ins>
      <w:ins w:id="10013" w:author="Z. Zukowski" w:date="2026-05-22T00:00:00Z">
        <w:r>
          <w:t xml:space="preserve"> </w:t>
        </w:r>
      </w:ins>
      <w:ins w:id="10013" w:author="Z. Zukowski" w:date="2026-05-22T00:00:00Z">
        <w:r>
          <w:t xml:space="preserve">0.005, N = 39; Section 4.4). Third,</w:t>
        </w:r>
      </w:ins>
      <w:ins w:id="10013" w:author="Z. Zukowski" w:date="2026-05-22T00:00:00Z">
        <w:r>
          <w:t xml:space="preserve"> </w:t>
        </w:r>
      </w:ins>
      <w:ins w:id="10013" w:author="Z. Zukowski" w:date="2026-05-22T00:00:00Z">
        <w:r>
          <w:t xml:space="preserve">DePIN governance concentration is higher than DeFi after exclusion</w:t>
        </w:r>
      </w:ins>
      <w:ins w:id="10013" w:author="Z. Zukowski" w:date="2026-05-22T00:00:00Z">
        <w:r>
          <w:t xml:space="preserve"> </w:t>
        </w:r>
      </w:ins>
      <w:ins w:id="10013" w:author="Z. Zukowski" w:date="2026-05-22T00:00:00Z">
        <w:r>
          <w:t xml:space="preserve">correction (Mann-Whitney p = 0.028, Cohen’s d = 0.65, a medium effect under the voter-inclusive staking pass-through treatment), and the finding</w:t>
        </w:r>
      </w:ins>
      <w:ins w:id="10013" w:author="Z. Zukowski" w:date="2026-05-22T00:00:00Z">
        <w:r>
          <w:t xml:space="preserve"> </w:t>
        </w:r>
      </w:ins>
      <w:ins w:id="10013" w:author="Z. Zukowski" w:date="2026-05-22T00:00:00Z">
        <w:r>
          <w:t xml:space="preserve">is robust to single-protocol exclusion (significant in all 30 of 30</w:t>
        </w:r>
      </w:ins>
      <w:ins w:id="10013" w:author="Z. Zukowski" w:date="2026-05-22T00:00:00Z">
        <w:r>
          <w:t xml:space="preserve"> </w:t>
        </w:r>
      </w:ins>
      <w:ins w:id="10013" w:author="Z. Zukowski" w:date="2026-05-22T00:00:00Z">
        <w:r>
          <w:t xml:space="preserve">leave-one-out iterations).</w:t>
        </w:r>
      </w:ins>
    </w:p>
    <w:p>
      <w:pPr>
        <w:pStyle w:val="BodyText"/>
      </w:pPr>
      <w:ins w:id="10014" w:author="Z. Zukowski" w:date="2026-05-22T00:00:00Z">
        <w:r>
          <w:t xml:space="preserve">Fourth, delegation concentrates governance power in thirteen of eighteen</w:t>
        </w:r>
      </w:ins>
      <w:ins w:id="10014" w:author="Z. Zukowski" w:date="2026-05-22T00:00:00Z">
        <w:r>
          <w:t xml:space="preserve"> </w:t>
        </w:r>
      </w:ins>
      <w:ins w:id="10014" w:author="Z. Zukowski" w:date="2026-05-22T00:00:00Z">
        <w:r>
          <w:t xml:space="preserve">protocols sampled, with amplification factors of 2.45x (Gnosis), 2.7x (Uniswap), 3.1x</w:t>
        </w:r>
      </w:ins>
      <w:ins w:id="10014" w:author="Z. Zukowski" w:date="2026-05-22T00:00:00Z">
        <w:r>
          <w:t xml:space="preserve"> </w:t>
        </w:r>
      </w:ins>
      <w:ins w:id="10014" w:author="Z. Zukowski" w:date="2026-05-22T00:00:00Z">
        <w:r>
          <w:t xml:space="preserve">(Arbitrum, DRIFT), 3.6x (Optimism), 3.8x (WeatherXM), 4.4x (Aave), 5.55x (Synthetix), 6.3x</w:t>
        </w:r>
      </w:ins>
      <w:ins w:id="10014" w:author="Z. Zukowski" w:date="2026-05-22T00:00:00Z">
        <w:r>
          <w:t xml:space="preserve"> </w:t>
        </w:r>
      </w:ins>
      <w:ins w:id="10014" w:author="Z. Zukowski" w:date="2026-05-22T00:00:00Z">
        <w:r>
          <w:t xml:space="preserve">(Lido), 9.1x (DIMO), 9.63x (Bittensor), 9.9x (Compound), and 25.65x (Polkadot). Five protocols</w:t>
        </w:r>
      </w:ins>
      <w:ins w:id="10014" w:author="Z. Zukowski" w:date="2026-05-22T00:00:00Z">
        <w:r>
          <w:t xml:space="preserve"> </w:t>
        </w:r>
      </w:ins>
      <w:ins w:id="10014" w:author="Z. Zukowski" w:date="2026-05-22T00:00:00Z">
        <w:r>
          <w:t xml:space="preserve">(ENS at 0.48x; GMX at 0.87x; HNT at 0.26x-0.39x; JUP at 0.12x most-extreme dispersion outlier; LPT at 0.27x, the most pronounced DePIN governance disperser) show delegation-mediated dispersion, reflecting</w:t>
        </w:r>
      </w:ins>
      <w:ins w:id="10014" w:author="Z. Zukowski" w:date="2026-05-22T00:00:00Z">
        <w:r>
          <w:t xml:space="preserve"> </w:t>
        </w:r>
      </w:ins>
      <w:ins w:id="10014"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4" w:author="Z. Zukowski" w:date="2026-05-22T00:00:00Z">
        <w:r>
          <w:t xml:space="preserve"> </w:t>
        </w:r>
      </w:ins>
      <w:ins w:id="10014" w:author="Z. Zukowski" w:date="2026-05-22T00:00:00Z">
        <w:r>
          <w:t xml:space="preserve">broader community-delegate set, or where vote-weight mechanism design disperses voting power below the holding baseline.</w:t>
        </w:r>
      </w:ins>
    </w:p>
    <w:p>
      <w:pPr>
        <w:pStyle w:val="BodyText"/>
      </w:pPr>
      <w:ins w:id="10015" w:author="Z. Zukowski" w:date="2026-05-22T00:00:00Z">
        <w:r>
          <w:t xml:space="preserve">Two further protocols (Uniswap,</w:t>
        </w:r>
      </w:ins>
      <w:ins w:id="10015" w:author="Z. Zukowski" w:date="2026-05-22T00:00:00Z">
        <w:r>
          <w:t xml:space="preserve"> </w:t>
        </w:r>
      </w:ins>
      <w:ins w:id="10015" w:author="Z. Zukowski" w:date="2026-05-22T00:00:00Z">
        <w:r>
          <w:t xml:space="preserve">Optimism) would appear to show dispersion if holding HHI were measured</w:t>
        </w:r>
      </w:ins>
      <w:ins w:id="10015" w:author="Z. Zukowski" w:date="2026-05-22T00:00:00Z">
        <w:r>
          <w:t xml:space="preserve"> </w:t>
        </w:r>
      </w:ins>
      <w:ins w:id="10015" w:author="Z. Zukowski" w:date="2026-05-22T00:00:00Z">
        <w:r>
          <w:t xml:space="preserve">without excluding addresses that cannot vote (burn wallets, foundation</w:t>
        </w:r>
      </w:ins>
      <w:ins w:id="10015" w:author="Z. Zukowski" w:date="2026-05-22T00:00:00Z">
        <w:r>
          <w:t xml:space="preserve"> </w:t>
        </w:r>
      </w:ins>
      <w:ins w:id="10015" w:author="Z. Zukowski" w:date="2026-05-22T00:00:00Z">
        <w:r>
          <w:t xml:space="preserve">treasuries); under the consistent exclusion methodology applied</w:t>
        </w:r>
      </w:ins>
      <w:ins w:id="10015" w:author="Z. Zukowski" w:date="2026-05-22T00:00:00Z">
        <w:r>
          <w:t xml:space="preserve"> </w:t>
        </w:r>
      </w:ins>
      <w:ins w:id="10015" w:author="Z. Zukowski" w:date="2026-05-22T00:00:00Z">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ins>
      <w:ins w:id="10015" w:author="Z. Zukowski" w:date="2026-05-22T00:00:00Z">
        <w:r>
          <w:t xml:space="preserve"> </w:t>
        </w:r>
      </w:ins>
      <w:ins w:id="10015" w:author="Z. Zukowski" w:date="2026-05-22T00:00:00Z">
        <w:r>
          <w:t xml:space="preserve">weighting and form a distinct class discussed in Section 4.5.2.</w:t>
        </w:r>
      </w:ins>
      <w:ins w:id="10015" w:author="Z. Zukowski" w:date="2026-05-22T00:00:00Z">
        <w:r>
          <w:t xml:space="preserve"> </w:t>
        </w:r>
      </w:ins>
      <w:ins w:id="10015" w:author="Z. Zukowski" w:date="2026-05-22T00:00:00Z">
        <w:r>
          <w:t xml:space="preserve">Institutional design within each delegate program is associated with</w:t>
        </w:r>
      </w:ins>
      <w:ins w:id="10015" w:author="Z. Zukowski" w:date="2026-05-22T00:00:00Z">
        <w:r>
          <w:t xml:space="preserve"> </w:t>
        </w:r>
      </w:ins>
      <w:ins w:id="10015" w:author="Z. Zukowski" w:date="2026-05-22T00:00:00Z">
        <w:r>
          <w:t xml:space="preserve">whether delegation concentrates power and how strongly.</w:t>
        </w:r>
      </w:ins>
    </w:p>
    <w:p>
      <w:pPr>
        <w:pStyle w:val="BodyText"/>
      </w:pPr>
      <w:ins w:id="10016" w:author="Z. Zukowski" w:date="2026-05-22T00:00:00Z">
        <w:r>
          <w:t xml:space="preserve">The sequence carries one practical conclusion: governance audits should</w:t>
        </w:r>
      </w:ins>
      <w:ins w:id="10016" w:author="Z. Zukowski" w:date="2026-05-22T00:00:00Z">
        <w:r>
          <w:t xml:space="preserve"> </w:t>
        </w:r>
      </w:ins>
      <w:ins w:id="10016" w:author="Z. Zukowski" w:date="2026-05-22T00:00:00Z">
        <w:r>
          <w:t xml:space="preserve">measure live power across these four surfaces rather than infer it from</w:t>
        </w:r>
      </w:ins>
      <w:ins w:id="10016" w:author="Z. Zukowski" w:date="2026-05-22T00:00:00Z">
        <w:r>
          <w:t xml:space="preserve"> </w:t>
        </w:r>
      </w:ins>
      <w:ins w:id="10016" w:author="Z. Zukowski" w:date="2026-05-22T00:00:00Z">
        <w:r>
          <w:t xml:space="preserve">inherited launch promises. A decentralization claim should fail audit unless it reports current PCA-corrected holder concentration, identifies insider retention among top holders, and compares voting power against the corrected holding baseline. The same corrected measurements make visible a</w:t>
        </w:r>
      </w:ins>
      <w:ins w:id="10016" w:author="Z. Zukowski" w:date="2026-05-22T00:00:00Z">
        <w:r>
          <w:t xml:space="preserve"> </w:t>
        </w:r>
      </w:ins>
      <w:ins w:id="10016" w:author="Z. Zukowski" w:date="2026-05-22T00:00:00Z">
        <w:r>
          <w:t xml:space="preserve">further, method-enabled extension, a cross-protocol institutional</w:t>
        </w:r>
      </w:ins>
      <w:ins w:id="10016" w:author="Z. Zukowski" w:date="2026-05-22T00:00:00Z">
        <w:r>
          <w:t xml:space="preserve"> </w:t>
        </w:r>
      </w:ins>
      <w:ins w:id="10016" w:author="Z. Zukowski" w:date="2026-05-22T00:00:00Z">
        <w:r>
          <w:t xml:space="preserve">concentration in which a small professional-delegate and exchange-custody</w:t>
        </w:r>
      </w:ins>
      <w:ins w:id="10016" w:author="Z. Zukowski" w:date="2026-05-22T00:00:00Z">
        <w:r>
          <w:t xml:space="preserve"> </w:t>
        </w:r>
      </w:ins>
      <w:ins w:id="10016" w:author="Z. Zukowski" w:date="2026-05-22T00:00:00Z">
        <w:r>
          <w:t xml:space="preserve">class recurs across many protocols at once; this is previewed in</w:t>
        </w:r>
      </w:ins>
      <w:ins w:id="10016" w:author="Z. Zukowski" w:date="2026-05-22T00:00:00Z">
        <w:r>
          <w:t xml:space="preserve"> </w:t>
        </w:r>
      </w:ins>
      <w:ins w:id="10016" w:author="Z. Zukowski" w:date="2026-05-22T00:00:00Z">
        <w:r>
          <w:t xml:space="preserve">Section 4.5.5 (Supplementary File S25) as a descriptive extension of the</w:t>
        </w:r>
      </w:ins>
      <w:ins w:id="10016" w:author="Z. Zukowski" w:date="2026-05-22T00:00:00Z">
        <w:r>
          <w:t xml:space="preserve"> </w:t>
        </w:r>
      </w:ins>
      <w:ins w:id="10016"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7" w:author="Z. Zukowski" w:date="2026-05-22T00:00:00Z">
        <w:r>
          <w:t xml:space="preserve">1.2 Companion Theory and Normative Bridge</w:t>
        </w:r>
      </w:ins>
    </w:p>
    <w:p>
      <w:pPr>
        <w:pStyle w:val="FirstParagraph"/>
      </w:pPr>
      <w:ins w:id="10018"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9"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20" w:author="Z. Zukowski" w:date="2026-05-22T00:00:00Z">
        <w:r>
          <w:t xml:space="preserve">Three empirical research questions guide the analysis:</w:t>
        </w:r>
      </w:ins>
    </w:p>
    <w:p>
      <w:pPr>
        <w:pStyle w:val="BodyText"/>
      </w:pPr>
      <w:ins w:id="10021" w:author="Z. Zukowski" w:date="2026-05-22T00:00:00Z">
        <w:r>
          <w:t xml:space="preserve">RQ1: After PCA exclusion, which cross-sectional protocol features are associated with post-distribution holder concentration (HHI)?</w:t>
        </w:r>
      </w:ins>
    </w:p>
    <w:p>
      <w:pPr>
        <w:pStyle w:val="BodyText"/>
      </w:pPr>
      <w:ins w:id="10022" w:author="Z. Zukowski" w:date="2026-05-22T00:00:00Z">
        <w:r>
          <w:t xml:space="preserve">RQ2: How does delegated voting power deviate from post-exclusion token holdings, and is amplification associated with sector or governance venue?</w:t>
        </w:r>
      </w:ins>
    </w:p>
    <w:p>
      <w:pPr>
        <w:pStyle w:val="BodyText"/>
      </w:pPr>
      <w:ins w:id="10023"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24" w:author="Z. Zukowski" w:date="2026-05-22T00:00:00Z">
        <w:r>
          <w:rPr>
            <w:b/>
            <w:bCs/>
          </w:rPr>
          <w:t xml:space="preserve">Holder lists require classification.</w:t>
        </w:r>
      </w:ins>
      <w:ins w:id="10024" w:author="Z. Zukowski" w:date="2026-05-22T00:00:00Z">
        <w:r>
          <w:t xml:space="preserve"> </w:t>
        </w:r>
      </w:ins>
      <w:ins w:id="10024"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5" w:author="Z. Zukowski" w:date="2026-05-22T00:00:00Z">
        <w:r>
          <w:rPr>
            <w:b/>
            <w:bCs/>
          </w:rPr>
          <w:t xml:space="preserve">Snapshots measure states, not trajectories.</w:t>
        </w:r>
      </w:ins>
      <w:ins w:id="10025" w:author="Z. Zukowski" w:date="2026-05-22T00:00:00Z">
        <w:r>
          <w:t xml:space="preserve"> </w:t>
        </w:r>
      </w:ins>
      <w:ins w:id="10025" w:author="Z. Zukowski" w:date="2026-05-22T00:00:00Z">
        <w:r>
          <w:t xml:space="preserve">The March 2026 cross-section supports association and comparison, not causal claims about deconcentration over time.</w:t>
        </w:r>
      </w:ins>
    </w:p>
    <w:p>
      <w:pPr>
        <w:pStyle w:val="Compact"/>
        <w:numPr>
          <w:ilvl w:val="0"/>
          <w:numId w:val="1001"/>
        </w:numPr>
      </w:pPr>
      <w:ins w:id="10026" w:author="Z. Zukowski" w:date="2026-05-22T00:00:00Z">
        <w:r>
          <w:rPr>
            <w:b/>
            <w:bCs/>
          </w:rPr>
          <w:t xml:space="preserve">Voting power can diverge from holdings.</w:t>
        </w:r>
      </w:ins>
      <w:ins w:id="10026" w:author="Z. Zukowski" w:date="2026-05-22T00:00:00Z">
        <w:r>
          <w:t xml:space="preserve"> </w:t>
        </w:r>
      </w:ins>
      <w:ins w:id="10026"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7" w:author="Z. Zukowski" w:date="2026-05-22T00:00:00Z">
        <w:r>
          <w:t xml:space="preserve">The evidence boundaries are the control surfaces the audit framework measures, and the surfaces it does not yet reach, developed in full as five scopes in Section 5.7. In preview: a single March 2026 cross-section supports descriptive association rather than causal identification (temporal scope); holding HHI and voting HHI are necessary but not sufficient, leaving informal influence, off-chain coordination, proposal-specific quorum rules, and identity splitting uncaptured (measurement scope); the audit’s classification layers are researcher judgments bounded by sensitivity checks rather than a second-coder statistic (classification scope); voting-HHI is available for eighteen protocols, PCA classification is weaker on some Solana- and Substrate-native tokens, and the sample is still modest for fully specified multivariate models (sample scope); and the sector contrast is directionally robust but treatment-dependent in magnitude and significance (sector-contrast scope). These limitations are not exceptions to the audit framework; they identify the next control surfaces it should measure: time, identity, classification reliability, and cross-protocol coordination. The statistical significance, though not the direction, of the sector contrast is additionally load-bearing on the exchange-custody exclusion, developed in Sections 4.6.2 and 5.7. They are developed further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8"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9"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30" w:author="Z. Zukowski" w:date="2026-05-22T00:00:00Z">
        <w:r>
          <w:t xml:space="preserve">Three measurement gaps in the token-governance literature motivate this paper; each defines a surface a live-governance audit must measure. First, prior holder-list HHI computations have not systematically</w:t>
        </w:r>
      </w:ins>
      <w:ins w:id="10030" w:author="Z. Zukowski" w:date="2026-05-22T00:00:00Z">
        <w:r>
          <w:t xml:space="preserve"> </w:t>
        </w:r>
      </w:ins>
      <w:ins w:id="10030" w:author="Z. Zukowski" w:date="2026-05-22T00:00:00Z">
        <w:r>
          <w:t xml:space="preserve">excluded protocol-controlled addresses (staking contracts, treasuries,</w:t>
        </w:r>
      </w:ins>
      <w:ins w:id="10030" w:author="Z. Zukowski" w:date="2026-05-22T00:00:00Z">
        <w:r>
          <w:t xml:space="preserve"> </w:t>
        </w:r>
      </w:ins>
      <w:ins w:id="10030" w:author="Z. Zukowski" w:date="2026-05-22T00:00:00Z">
        <w:r>
          <w:t xml:space="preserve">bridge custody, exchange wallets), inflating concentration estimates by</w:t>
        </w:r>
      </w:ins>
      <w:ins w:id="10030" w:author="Z. Zukowski" w:date="2026-05-22T00:00:00Z">
        <w:r>
          <w:t xml:space="preserve"> </w:t>
        </w:r>
      </w:ins>
      <w:ins w:id="10030" w:author="Z. Zukowski" w:date="2026-05-22T00:00:00Z">
        <w:r>
          <w:t xml:space="preserve">a median 2.3x and up to 18x in this paper’s sample. Second, the</w:t>
        </w:r>
      </w:ins>
      <w:ins w:id="10030" w:author="Z. Zukowski" w:date="2026-05-22T00:00:00Z">
        <w:r>
          <w:t xml:space="preserve"> </w:t>
        </w:r>
      </w:ins>
      <w:ins w:id="10030" w:author="Z. Zukowski" w:date="2026-05-22T00:00:00Z">
        <w:r>
          <w:t xml:space="preserve">cross-sectional relationship between launch-time token allocation and</w:t>
        </w:r>
      </w:ins>
      <w:ins w:id="10030" w:author="Z. Zukowski" w:date="2026-05-22T00:00:00Z">
        <w:r>
          <w:t xml:space="preserve"> </w:t>
        </w:r>
      </w:ins>
      <w:ins w:id="10030" w:author="Z. Zukowski" w:date="2026-05-22T00:00:00Z">
        <w:r>
          <w:t xml:space="preserve">post-distribution concentration has not been tested with sample size</w:t>
        </w:r>
      </w:ins>
      <w:ins w:id="10030" w:author="Z. Zukowski" w:date="2026-05-22T00:00:00Z">
        <w:r>
          <w:t xml:space="preserve"> </w:t>
        </w:r>
      </w:ins>
      <w:ins w:id="10030" w:author="Z. Zukowski" w:date="2026-05-22T00:00:00Z">
        <w:r>
          <w:t xml:space="preserve">sufficient for null findings to be informative. Third, the gap between</w:t>
        </w:r>
      </w:ins>
      <w:ins w:id="10030" w:author="Z. Zukowski" w:date="2026-05-22T00:00:00Z">
        <w:r>
          <w:t xml:space="preserve"> </w:t>
        </w:r>
      </w:ins>
      <w:ins w:id="10030" w:author="Z. Zukowski" w:date="2026-05-22T00:00:00Z">
        <w:r>
          <w:t xml:space="preserve">holding HHI and delegated voting HHI has not been measured across</w:t>
        </w:r>
      </w:ins>
      <w:ins w:id="10030" w:author="Z. Zukowski" w:date="2026-05-22T00:00:00Z">
        <w:r>
          <w:t xml:space="preserve"> </w:t>
        </w:r>
      </w:ins>
      <w:ins w:id="10030" w:author="Z. Zukowski" w:date="2026-05-22T00:00:00Z">
        <w:r>
          <w:t xml:space="preserve">sectors using comparable governance data surfaces (Tally, Snapshot,</w:t>
        </w:r>
      </w:ins>
      <w:ins w:id="10030" w:author="Z. Zukowski" w:date="2026-05-22T00:00:00Z">
        <w:r>
          <w:t xml:space="preserve"> </w:t>
        </w:r>
      </w:ins>
      <w:ins w:id="10030" w:author="Z. Zukowski" w:date="2026-05-22T00:00:00Z">
        <w:r>
          <w:t xml:space="preserve">Solana on-chain governance).</w:t>
        </w:r>
      </w:ins>
    </w:p>
    <w:p>
      <w:pPr>
        <w:pStyle w:val="BodyText"/>
      </w:pPr>
      <w:ins w:id="10031" w:author="Z. Zukowski" w:date="2026-05-22T00:00:00Z">
        <w:r>
          <w:t xml:space="preserve">The literature spans voting-power concentration in major DAOs (Fritsch</w:t>
        </w:r>
      </w:ins>
      <w:ins w:id="10031" w:author="Z. Zukowski" w:date="2026-05-22T00:00:00Z">
        <w:r>
          <w:t xml:space="preserve"> </w:t>
        </w:r>
      </w:ins>
      <w:ins w:id="10031" w:author="Z. Zukowski" w:date="2026-05-22T00:00:00Z">
        <w:r>
          <w:t xml:space="preserve">et al., 2024), insider trading by proposal managers (Cong et al., 2025),</w:t>
        </w:r>
      </w:ins>
      <w:ins w:id="10031" w:author="Z. Zukowski" w:date="2026-05-22T00:00:00Z">
        <w:r>
          <w:t xml:space="preserve"> </w:t>
        </w:r>
      </w:ins>
      <w:ins w:id="10031" w:author="Z. Zukowski" w:date="2026-05-22T00:00:00Z">
        <w:r>
          <w:t xml:space="preserve">the</w:t>
        </w:r>
      </w:ins>
      <w:ins w:id="10031" w:author="Z. Zukowski" w:date="2026-05-22T00:00:00Z">
        <w:r>
          <w:t xml:space="preserve"> </w:t>
        </w:r>
      </w:ins>
      <w:ins w:id="10031" w:author="Z. Zukowski" w:date="2026-05-22T00:00:00Z">
        <w:r>
          <w:t xml:space="preserve">“decentralization illusion”</w:t>
        </w:r>
      </w:ins>
      <w:ins w:id="10031" w:author="Z. Zukowski" w:date="2026-05-22T00:00:00Z">
        <w:r>
          <w:t xml:space="preserve"> </w:t>
        </w:r>
      </w:ins>
      <w:ins w:id="10031" w:author="Z. Zukowski" w:date="2026-05-22T00:00:00Z">
        <w:r>
          <w:t xml:space="preserve">(Aramonte et al., 2021), and structural</w:t>
        </w:r>
      </w:ins>
      <w:ins w:id="10031" w:author="Z. Zukowski" w:date="2026-05-22T00:00:00Z">
        <w:r>
          <w:t xml:space="preserve"> </w:t>
        </w:r>
      </w:ins>
      <w:ins w:id="10031" w:author="Z. Zukowski" w:date="2026-05-22T00:00:00Z">
        <w:r>
          <w:t xml:space="preserve">concentration patterns across categories (Barbereau et al., 2023;</w:t>
        </w:r>
      </w:ins>
      <w:ins w:id="10031" w:author="Z. Zukowski" w:date="2026-05-22T00:00:00Z">
        <w:r>
          <w:t xml:space="preserve"> </w:t>
        </w:r>
      </w:ins>
      <w:ins w:id="10031" w:author="Z. Zukowski" w:date="2026-05-22T00:00:00Z">
        <w:r>
          <w:t xml:space="preserve">Feichtinger et al., 2023). Pagallo, Casanovas, and Madelin (2019)</w:t>
        </w:r>
      </w:ins>
      <w:ins w:id="10031" w:author="Z. Zukowski" w:date="2026-05-22T00:00:00Z">
        <w:r>
          <w:t xml:space="preserve"> </w:t>
        </w:r>
      </w:ins>
      <w:ins w:id="10031" w:author="Z. Zukowski" w:date="2026-05-22T00:00:00Z">
        <w:r>
          <w:t xml:space="preserve">frame such patterns as the outcome of multiple regulatory systems,</w:t>
        </w:r>
      </w:ins>
      <w:ins w:id="10031" w:author="Z. Zukowski" w:date="2026-05-22T00:00:00Z">
        <w:r>
          <w:t xml:space="preserve"> </w:t>
        </w:r>
      </w:ins>
      <w:ins w:id="10031" w:author="Z. Zukowski" w:date="2026-05-22T00:00:00Z">
        <w:r>
          <w:t xml:space="preserve">law, market forces, social norms, and technology as lex informatica,</w:t>
        </w:r>
      </w:ins>
      <w:ins w:id="10031" w:author="Z. Zukowski" w:date="2026-05-22T00:00:00Z">
        <w:r>
          <w:t xml:space="preserve"> </w:t>
        </w:r>
      </w:ins>
      <w:ins w:id="10031" w:author="Z. Zukowski" w:date="2026-05-22T00:00:00Z">
        <w:r>
          <w:t xml:space="preserve">that compete, reinforce one another, or render one another</w:t>
        </w:r>
      </w:ins>
      <w:ins w:id="10031" w:author="Z. Zukowski" w:date="2026-05-22T00:00:00Z">
        <w:r>
          <w:t xml:space="preserve"> </w:t>
        </w:r>
      </w:ins>
      <w:ins w:id="10031" w:author="Z. Zukowski" w:date="2026-05-22T00:00:00Z">
        <w:r>
          <w:t xml:space="preserve">superfluous; on that reading governance concentration is the</w:t>
        </w:r>
      </w:ins>
      <w:ins w:id="10031" w:author="Z. Zukowski" w:date="2026-05-22T00:00:00Z">
        <w:r>
          <w:t xml:space="preserve"> </w:t>
        </w:r>
      </w:ins>
      <w:ins w:id="10031" w:author="Z. Zukowski" w:date="2026-05-22T00:00:00Z">
        <w:r>
          <w:t xml:space="preserve">equilibrium where smart-contract architecture, market accumulation,</w:t>
        </w:r>
      </w:ins>
      <w:ins w:id="10031" w:author="Z. Zukowski" w:date="2026-05-22T00:00:00Z">
        <w:r>
          <w:t xml:space="preserve"> </w:t>
        </w:r>
      </w:ins>
      <w:ins w:id="10031" w:author="Z. Zukowski" w:date="2026-05-22T00:00:00Z">
        <w:r>
          <w:t xml:space="preserve">delegate incentives, and protocol rules jointly determine who can</w:t>
        </w:r>
      </w:ins>
      <w:ins w:id="10031" w:author="Z. Zukowski" w:date="2026-05-22T00:00:00Z">
        <w:r>
          <w:t xml:space="preserve"> </w:t>
        </w:r>
      </w:ins>
      <w:ins w:id="10031" w:author="Z. Zukowski" w:date="2026-05-22T00:00:00Z">
        <w:r>
          <w:t xml:space="preserve">exercise voting power. The subsections below review the strands</w:t>
        </w:r>
      </w:ins>
      <w:ins w:id="10031" w:author="Z. Zukowski" w:date="2026-05-22T00:00:00Z">
        <w:r>
          <w:t xml:space="preserve"> </w:t>
        </w:r>
      </w:ins>
      <w:ins w:id="10031" w:author="Z. Zukowski" w:date="2026-05-22T00:00:00Z">
        <w:r>
          <w:t xml:space="preserve">relevant to each gap: tokenomics as mechanism and institutional design</w:t>
        </w:r>
      </w:ins>
      <w:ins w:id="10031" w:author="Z. Zukowski" w:date="2026-05-22T00:00:00Z">
        <w:r>
          <w:t xml:space="preserve"> </w:t>
        </w:r>
      </w:ins>
      <w:ins w:id="10031" w:author="Z. Zukowski" w:date="2026-05-22T00:00:00Z">
        <w:r>
          <w:t xml:space="preserve">(§2.2-2.3), DAO governance concentration and delegation (§2.4), DePIN</w:t>
        </w:r>
      </w:ins>
      <w:ins w:id="10031" w:author="Z. Zukowski" w:date="2026-05-22T00:00:00Z">
        <w:r>
          <w:t xml:space="preserve"> </w:t>
        </w:r>
      </w:ins>
      <w:ins w:id="10031" w:author="Z. Zukowski" w:date="2026-05-22T00:00:00Z">
        <w:r>
          <w:t xml:space="preserve">tokenomics (§2.5), constitutional and polycentric framings (§2.6), and</w:t>
        </w:r>
      </w:ins>
      <w:ins w:id="10031" w:author="Z. Zukowski" w:date="2026-05-22T00:00:00Z">
        <w:r>
          <w:t xml:space="preserve"> </w:t>
        </w:r>
      </w:ins>
      <w:ins w:id="10031"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32" w:author="Z. Zukowski" w:date="2026-05-22T00:00:00Z">
        <w:r>
          <w:t xml:space="preserve">The legitimacy of tokenized governance depends not only on formal voting</w:t>
        </w:r>
      </w:ins>
      <w:ins w:id="10032" w:author="Z. Zukowski" w:date="2026-05-22T00:00:00Z">
        <w:r>
          <w:t xml:space="preserve"> </w:t>
        </w:r>
      </w:ins>
      <w:ins w:id="10032" w:author="Z. Zukowski" w:date="2026-05-22T00:00:00Z">
        <w:r>
          <w:t xml:space="preserve">rules but also on power distribution and participation structure (Aramonte et al., 2021; Nadler &amp; Schär, 2020). Decentralized Autonomous</w:t>
        </w:r>
      </w:ins>
      <w:ins w:id="10032" w:author="Z. Zukowski" w:date="2026-05-22T00:00:00Z">
        <w:r>
          <w:t xml:space="preserve"> </w:t>
        </w:r>
      </w:ins>
      <w:ins w:id="10032" w:author="Z. Zukowski" w:date="2026-05-22T00:00:00Z">
        <w:r>
          <w:t xml:space="preserve">Organizations (DAOs; on-chain organizations whose governance rules and</w:t>
        </w:r>
      </w:ins>
      <w:ins w:id="10032" w:author="Z. Zukowski" w:date="2026-05-22T00:00:00Z">
        <w:r>
          <w:t xml:space="preserve"> </w:t>
        </w:r>
      </w:ins>
      <w:ins w:id="10032" w:author="Z. Zukowski" w:date="2026-05-22T00:00:00Z">
        <w:r>
          <w:t xml:space="preserve">treasury controls are encoded in smart contracts and exercised via</w:t>
        </w:r>
      </w:ins>
      <w:ins w:id="10032" w:author="Z. Zukowski" w:date="2026-05-22T00:00:00Z">
        <w:r>
          <w:t xml:space="preserve"> </w:t>
        </w:r>
      </w:ins>
      <w:ins w:id="10032" w:author="Z. Zukowski" w:date="2026-05-22T00:00:00Z">
        <w:r>
          <w:t xml:space="preserve">token-weighted voting) and similar token-governed protocols face a</w:t>
        </w:r>
      </w:ins>
      <w:ins w:id="10032" w:author="Z. Zukowski" w:date="2026-05-22T00:00:00Z">
        <w:r>
          <w:t xml:space="preserve"> </w:t>
        </w:r>
      </w:ins>
      <w:ins w:id="10032" w:author="Z. Zukowski" w:date="2026-05-22T00:00:00Z">
        <w:r>
          <w:t xml:space="preserve">central challenge: token-based governance can produce concentrated</w:t>
        </w:r>
      </w:ins>
      <w:ins w:id="10032" w:author="Z. Zukowski" w:date="2026-05-22T00:00:00Z">
        <w:r>
          <w:t xml:space="preserve"> </w:t>
        </w:r>
      </w:ins>
      <w:ins w:id="10032" w:author="Z. Zukowski" w:date="2026-05-22T00:00:00Z">
        <w:r>
          <w:t xml:space="preserve">influence (Barbereau et al., 2023) including</w:t>
        </w:r>
      </w:ins>
      <w:ins w:id="10032" w:author="Z. Zukowski" w:date="2026-05-22T00:00:00Z">
        <w:r>
          <w:t xml:space="preserve"> </w:t>
        </w:r>
      </w:ins>
      <w:ins w:id="10032" w:author="Z. Zukowski" w:date="2026-05-22T00:00:00Z">
        <w:r>
          <w:t xml:space="preserve">“whales”</w:t>
        </w:r>
      </w:ins>
      <w:ins w:id="10032" w:author="Z. Zukowski" w:date="2026-05-22T00:00:00Z">
        <w:r>
          <w:t xml:space="preserve"> </w:t>
        </w:r>
      </w:ins>
      <w:ins w:id="10032" w:author="Z. Zukowski" w:date="2026-05-22T00:00:00Z">
        <w:r>
          <w:t xml:space="preserve">(very large</w:t>
        </w:r>
      </w:ins>
      <w:ins w:id="10032" w:author="Z. Zukowski" w:date="2026-05-22T00:00:00Z">
        <w:r>
          <w:t xml:space="preserve"> </w:t>
        </w:r>
      </w:ins>
      <w:ins w:id="10032" w:author="Z. Zukowski" w:date="2026-05-22T00:00:00Z">
        <w:r>
          <w:t xml:space="preserve">individual holders), delegates (parties who receive voting power</w:t>
        </w:r>
      </w:ins>
      <w:ins w:id="10032" w:author="Z. Zukowski" w:date="2026-05-22T00:00:00Z">
        <w:r>
          <w:t xml:space="preserve"> </w:t>
        </w:r>
      </w:ins>
      <w:ins w:id="10032" w:author="Z. Zukowski" w:date="2026-05-22T00:00:00Z">
        <w:r>
          <w:t xml:space="preserve">from many other holders), or insiders, leading to outcomes that are</w:t>
        </w:r>
      </w:ins>
      <w:ins w:id="10032" w:author="Z. Zukowski" w:date="2026-05-22T00:00:00Z">
        <w:r>
          <w:t xml:space="preserve"> </w:t>
        </w:r>
      </w:ins>
      <w:ins w:id="10032" w:author="Z. Zukowski" w:date="2026-05-22T00:00:00Z">
        <w:r>
          <w:t xml:space="preserve">formally decentralized but substantively centralized. The</w:t>
        </w:r>
      </w:ins>
      <w:ins w:id="10032" w:author="Z. Zukowski" w:date="2026-05-22T00:00:00Z">
        <w:r>
          <w:t xml:space="preserve"> </w:t>
        </w:r>
      </w:ins>
      <w:ins w:id="10032" w:author="Z. Zukowski" w:date="2026-05-22T00:00:00Z">
        <w:r>
          <w:t xml:space="preserve">political-theory foundations of decentralized autonomous organizations</w:t>
        </w:r>
      </w:ins>
      <w:ins w:id="10032" w:author="Z. Zukowski" w:date="2026-05-22T00:00:00Z">
        <w:r>
          <w:t xml:space="preserve"> </w:t>
        </w:r>
      </w:ins>
      <w:ins w:id="10032" w:author="Z. Zukowski" w:date="2026-05-22T00:00:00Z">
        <w:r>
          <w:t xml:space="preserve">have been developed across two complementary lines of work: an early</w:t>
        </w:r>
      </w:ins>
      <w:ins w:id="10032" w:author="Z. Zukowski" w:date="2026-05-22T00:00:00Z">
        <w:r>
          <w:t xml:space="preserve"> </w:t>
        </w:r>
      </w:ins>
      <w:ins w:id="10032" w:author="Z. Zukowski" w:date="2026-05-22T00:00:00Z">
        <w:r>
          <w:t xml:space="preserve">political-theory line (DuPont, 2014,</w:t>
        </w:r>
      </w:ins>
      <w:ins w:id="10032" w:author="Z. Zukowski" w:date="2026-05-22T00:00:00Z">
        <w:r>
          <w:t xml:space="preserve"> </w:t>
        </w:r>
      </w:ins>
      <w:ins w:id="10032" w:author="Z. Zukowski" w:date="2026-05-22T00:00:00Z">
        <w:r>
          <w:t xml:space="preserve">“The Politics of Cryptography”</w:t>
        </w:r>
      </w:ins>
      <w:ins w:id="10032" w:author="Z. Zukowski" w:date="2026-05-22T00:00:00Z">
        <w:r>
          <w:t xml:space="preserve">;</w:t>
        </w:r>
      </w:ins>
      <w:ins w:id="10032" w:author="Z. Zukowski" w:date="2026-05-22T00:00:00Z">
        <w:r>
          <w:t xml:space="preserve"> </w:t>
        </w:r>
      </w:ins>
      <w:ins w:id="10032" w:author="Z. Zukowski" w:date="2026-05-22T00:00:00Z">
        <w:r>
          <w:t xml:space="preserve">Atzori, 2017) treating DAOs as new constitutional sites, and a more</w:t>
        </w:r>
      </w:ins>
      <w:ins w:id="10032" w:author="Z. Zukowski" w:date="2026-05-22T00:00:00Z">
        <w:r>
          <w:t xml:space="preserve"> </w:t>
        </w:r>
      </w:ins>
      <w:ins w:id="10032" w:author="Z. Zukowski" w:date="2026-05-22T00:00:00Z">
        <w:r>
          <w:t xml:space="preserve">recent commons-governance line (Schneider, 2024,</w:t>
        </w:r>
      </w:ins>
      <w:ins w:id="10032" w:author="Z. Zukowski" w:date="2026-05-22T00:00:00Z">
        <w:r>
          <w:t xml:space="preserve"> </w:t>
        </w:r>
      </w:ins>
      <w:ins w:id="10032" w:author="Z. Zukowski" w:date="2026-05-22T00:00:00Z">
        <w:r>
          <w:t xml:space="preserve">“Governable Spaces”</w:t>
        </w:r>
      </w:ins>
      <w:ins w:id="10032" w:author="Z. Zukowski" w:date="2026-05-22T00:00:00Z">
        <w:r>
          <w:t xml:space="preserve">)</w:t>
        </w:r>
      </w:ins>
      <w:ins w:id="10032" w:author="Z. Zukowski" w:date="2026-05-22T00:00:00Z">
        <w:r>
          <w:t xml:space="preserve"> </w:t>
        </w:r>
      </w:ins>
      <w:ins w:id="10032" w:author="Z. Zukowski" w:date="2026-05-22T00:00:00Z">
        <w:r>
          <w:t xml:space="preserve">that engages Ostromian polycentricity directly and provides a synthesis</w:t>
        </w:r>
      </w:ins>
      <w:ins w:id="10032" w:author="Z. Zukowski" w:date="2026-05-22T00:00:00Z">
        <w:r>
          <w:t xml:space="preserve"> </w:t>
        </w:r>
      </w:ins>
      <w:ins w:id="10032"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Extending the legal-theory lens of Pagallo, Casanovas, and Madelin (2019), who read governance through Hart’s distinction between primary rules that govern behaviour directly and secondary rules of recognition, adjudication, and change, a delegate program is best understood here as a secondary rule: it defines how token holdings convert into voting power, so its design, rather than the holdings alone, shapes whether voting concentrates or disperses. Holder lists and voting power must therefore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 from the legal side: the label</w:t>
      </w:r>
      <w:r>
        <w:t xml:space="preserve"> </w:t>
      </w:r>
      <w:r>
        <w:t xml:space="preserve">“decentralized”</w:t>
      </w:r>
      <w:r>
        <w:t xml:space="preserve"> </w:t>
      </w:r>
      <w:r>
        <w:t xml:space="preserve">can function as a veil that obscures identifiable sites of concentrated power and the responsibility attaching to them, so a corrected concentration measurement is the operational requirement that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0.09,</w:t>
      </w:r>
      <w:r>
        <w:t xml:space="preserve"> </w:t>
      </w:r>
      <w:r>
        <w:t xml:space="preserve">p = 0.55,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33" w:author="Z. Zukowski" w:date="2026-05-22T00:00:00Z">
        <w:r>
          <w:t xml:space="preserve">The clearest contemporary illustration is SporkDAO, the Colorado Limited</w:t>
        </w:r>
      </w:ins>
      <w:ins w:id="10033" w:author="Z. Zukowski" w:date="2026-05-22T00:00:00Z">
        <w:r>
          <w:t xml:space="preserve"> </w:t>
        </w:r>
      </w:ins>
      <w:ins w:id="10033" w:author="Z. Zukowski" w:date="2026-05-22T00:00:00Z">
        <w:r>
          <w:t xml:space="preserve">Cooperative Association behind the ETHDenver conference. SporkDAO</w:t>
        </w:r>
      </w:ins>
      <w:ins w:id="10033" w:author="Z. Zukowski" w:date="2026-05-22T00:00:00Z">
        <w:r>
          <w:t xml:space="preserve"> </w:t>
        </w:r>
      </w:ins>
      <w:ins w:id="10033" w:author="Z. Zukowski" w:date="2026-05-22T00:00:00Z">
        <w:r>
          <w:t xml:space="preserve">tokenizes patronage rather than selling ownership: members earn $SPORK by</w:t>
        </w:r>
      </w:ins>
      <w:ins w:id="10033" w:author="Z. Zukowski" w:date="2026-05-22T00:00:00Z">
        <w:r>
          <w:t xml:space="preserve"> </w:t>
        </w:r>
      </w:ins>
      <w:ins w:id="10033" w:author="Z. Zukowski" w:date="2026-05-22T00:00:00Z">
        <w:r>
          <w:t xml:space="preserve">contributing to the ETHDenver ecosystem, stake it to activate membership,</w:t>
        </w:r>
      </w:ins>
      <w:ins w:id="10033" w:author="Z. Zukowski" w:date="2026-05-22T00:00:00Z">
        <w:r>
          <w:t xml:space="preserve"> </w:t>
        </w:r>
      </w:ins>
      <w:ins w:id="10033" w:author="Z. Zukowski" w:date="2026-05-22T00:00:00Z">
        <w:r>
          <w:t xml:space="preserve">and cast staked balances in quadratically weighted Snapshot elections for</w:t>
        </w:r>
      </w:ins>
      <w:ins w:id="10033" w:author="Z. Zukowski" w:date="2026-05-22T00:00:00Z">
        <w:r>
          <w:t xml:space="preserve"> </w:t>
        </w:r>
      </w:ins>
      <w:ins w:id="10033" w:author="Z. Zukowski" w:date="2026-05-22T00:00:00Z">
        <w:r>
          <w:t xml:space="preserve">a nine-member Board of Stewards that carries the association’s legal and</w:t>
        </w:r>
      </w:ins>
      <w:ins w:id="10033" w:author="Z. Zukowski" w:date="2026-05-22T00:00:00Z">
        <w:r>
          <w:t xml:space="preserve"> </w:t>
        </w:r>
      </w:ins>
      <w:ins w:id="10033" w:author="Z. Zukowski" w:date="2026-05-22T00:00:00Z">
        <w:r>
          <w:t xml:space="preserve">financial responsibility. Elections run on an annual cycle tied to the</w:t>
        </w:r>
      </w:ins>
      <w:ins w:id="10033" w:author="Z. Zukowski" w:date="2026-05-22T00:00:00Z">
        <w:r>
          <w:t xml:space="preserve"> </w:t>
        </w:r>
      </w:ins>
      <w:ins w:id="10033" w:author="Z. Zukowski" w:date="2026-05-22T00:00:00Z">
        <w:r>
          <w:t xml:space="preserve">conference, which serves as the cooperative’s members’ meeting, and the</w:t>
        </w:r>
      </w:ins>
      <w:ins w:id="10033" w:author="Z. Zukowski" w:date="2026-05-22T00:00:00Z">
        <w:r>
          <w:t xml:space="preserve"> </w:t>
        </w:r>
      </w:ins>
      <w:ins w:id="10033" w:author="Z. Zukowski" w:date="2026-05-22T00:00:00Z">
        <w:r>
          <w:t xml:space="preserve">membership is broad, numbering tens of thousands of token holders. The</w:t>
        </w:r>
      </w:ins>
      <w:ins w:id="10033" w:author="Z. Zukowski" w:date="2026-05-22T00:00:00Z">
        <w:r>
          <w:t xml:space="preserve"> </w:t>
        </w:r>
      </w:ins>
      <w:ins w:id="10033" w:author="Z. Zukowski" w:date="2026-05-22T00:00:00Z">
        <w:r>
          <w:t xml:space="preserve">case shows why the cooperative is the nearest institutional ancestor for</w:t>
        </w:r>
      </w:ins>
      <w:ins w:id="10033" w:author="Z. Zukowski" w:date="2026-05-22T00:00:00Z">
        <w:r>
          <w:t xml:space="preserve"> </w:t>
        </w:r>
      </w:ins>
      <w:ins w:id="10033" w:author="Z. Zukowski" w:date="2026-05-22T00:00:00Z">
        <w:r>
          <w:t xml:space="preserve">tokenized protocols, and also why the analogy is incomplete. Legal</w:t>
        </w:r>
      </w:ins>
      <w:ins w:id="10033" w:author="Z. Zukowski" w:date="2026-05-22T00:00:00Z">
        <w:r>
          <w:t xml:space="preserve"> </w:t>
        </w:r>
      </w:ins>
      <w:ins w:id="10033" w:author="Z. Zukowski" w:date="2026-05-22T00:00:00Z">
        <w:r>
          <w:t xml:space="preserve">cooperative form, contribution-based token issuance, and annual member</w:t>
        </w:r>
      </w:ins>
      <w:ins w:id="10033" w:author="Z. Zukowski" w:date="2026-05-22T00:00:00Z">
        <w:r>
          <w:t xml:space="preserve"> </w:t>
        </w:r>
      </w:ins>
      <w:ins w:id="10033" w:author="Z. Zukowski" w:date="2026-05-22T00:00:00Z">
        <w:r>
          <w:t xml:space="preserve">meetings do not by themselves settle the distribution of live governance</w:t>
        </w:r>
      </w:ins>
      <w:ins w:id="10033" w:author="Z. Zukowski" w:date="2026-05-22T00:00:00Z">
        <w:r>
          <w:t xml:space="preserve"> </w:t>
        </w:r>
      </w:ins>
      <w:ins w:id="10033" w:author="Z. Zukowski" w:date="2026-05-22T00:00:00Z">
        <w:r>
          <w:t xml:space="preserve">power; operational custody, board responsibility, staking design, and</w:t>
        </w:r>
      </w:ins>
      <w:ins w:id="10033" w:author="Z. Zukowski" w:date="2026-05-22T00:00:00Z">
        <w:r>
          <w:t xml:space="preserve"> </w:t>
        </w:r>
      </w:ins>
      <w:ins w:id="10033" w:author="Z. Zukowski" w:date="2026-05-22T00:00:00Z">
        <w:r>
          <w:t xml:space="preserve">concentrated multisignature and treasury balances still have to be</w:t>
        </w:r>
      </w:ins>
      <w:ins w:id="10033" w:author="Z. Zukowski" w:date="2026-05-22T00:00:00Z">
        <w:r>
          <w:t xml:space="preserve"> </w:t>
        </w:r>
      </w:ins>
      <w:ins w:id="10033" w:author="Z. Zukowski" w:date="2026-05-22T00:00:00Z">
        <w:r>
          <w:t xml:space="preserve">measured directly. Tokenized protocols do not merely resemble</w:t>
        </w:r>
      </w:ins>
      <w:ins w:id="10033" w:author="Z. Zukowski" w:date="2026-05-22T00:00:00Z">
        <w:r>
          <w:t xml:space="preserve"> </w:t>
        </w:r>
      </w:ins>
      <w:ins w:id="10033" w:author="Z. Zukowski" w:date="2026-05-22T00:00:00Z">
        <w:r>
          <w:t xml:space="preserve">cooperatives; in cases like SporkDAO they can become cooperatives in law.</w:t>
        </w:r>
      </w:ins>
      <w:ins w:id="10033" w:author="Z. Zukowski" w:date="2026-05-22T00:00:00Z">
        <w:r>
          <w:t xml:space="preserve"> </w:t>
        </w:r>
      </w:ins>
      <w:ins w:id="10033" w:author="Z. Zukowski" w:date="2026-05-22T00:00:00Z">
        <w:r>
          <w:t xml:space="preserve">But tokenization reopens the cooperative legitimacy problem at the level</w:t>
        </w:r>
      </w:ins>
      <w:ins w:id="10033" w:author="Z. Zukowski" w:date="2026-05-22T00:00:00Z">
        <w:r>
          <w:t xml:space="preserve"> </w:t>
        </w:r>
      </w:ins>
      <w:ins w:id="10033" w:author="Z. Zukowski" w:date="2026-05-22T00:00:00Z">
        <w:r>
          <w:t xml:space="preserve">of live token custody, staking, and delegated voting power, which is what</w:t>
        </w:r>
      </w:ins>
      <w:ins w:id="10033" w:author="Z. Zukowski" w:date="2026-05-22T00:00:00Z">
        <w:r>
          <w:t xml:space="preserve"> </w:t>
        </w:r>
      </w:ins>
      <w:ins w:id="10033" w:author="Z. Zukowski" w:date="2026-05-22T00:00:00Z">
        <w:r>
          <w:t xml:space="preserve">the empirical results in Section 4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ins w:id="10034" w:author="Z. Zukowski" w:date="2026-05-22T00:00:00Z">
        <w:r>
          <w:t xml:space="preserve">This literature (Buchanan &amp; Tullock, 1962; extended in Brennan &amp;</w:t>
        </w:r>
      </w:ins>
      <w:ins w:id="10034" w:author="Z. Zukowski" w:date="2026-05-22T00:00:00Z">
        <w:r>
          <w:t xml:space="preserve"> </w:t>
        </w:r>
      </w:ins>
      <w:ins w:id="10034" w:author="Z. Zukowski" w:date="2026-05-22T00:00:00Z">
        <w:r>
          <w:t xml:space="preserve">Buchanan, 1985, on rule-following and the asymmetry between rules and</w:t>
        </w:r>
      </w:ins>
      <w:ins w:id="10034" w:author="Z. Zukowski" w:date="2026-05-22T00:00:00Z">
        <w:r>
          <w:t xml:space="preserve"> </w:t>
        </w:r>
      </w:ins>
      <w:ins w:id="10034" w:author="Z. Zukowski" w:date="2026-05-22T00:00:00Z">
        <w:r>
          <w:t xml:space="preserve">the discretionary decisions they constrain; North, 1990, on the role</w:t>
        </w:r>
      </w:ins>
      <w:ins w:id="10034" w:author="Z. Zukowski" w:date="2026-05-22T00:00:00Z">
        <w:r>
          <w:t xml:space="preserve"> </w:t>
        </w:r>
      </w:ins>
      <w:ins w:id="10034" w:author="Z. Zukowski" w:date="2026-05-22T00:00:00Z">
        <w:r>
          <w:t xml:space="preserve">of institutions as humanly-devised constraints structuring economic</w:t>
        </w:r>
      </w:ins>
      <w:ins w:id="10034" w:author="Z. Zukowski" w:date="2026-05-22T00:00:00Z">
        <w:r>
          <w:t xml:space="preserve"> </w:t>
        </w:r>
      </w:ins>
      <w:ins w:id="10034" w:author="Z. Zukowski" w:date="2026-05-22T00:00:00Z">
        <w:r>
          <w:t xml:space="preserve">exchange) informs later chapters’ distinction between a protocol’s</w:t>
        </w:r>
      </w:ins>
      <w:ins w:id="10034" w:author="Z. Zukowski" w:date="2026-05-22T00:00:00Z">
        <w:r>
          <w:t xml:space="preserve"> </w:t>
        </w:r>
      </w:ins>
      <w:ins w:id="10034" w:author="Z. Zukowski" w:date="2026-05-22T00:00:00Z">
        <w:r>
          <w:t xml:space="preserve">“constitutional layer”</w:t>
        </w:r>
      </w:ins>
      <w:ins w:id="10034" w:author="Z. Zukowski" w:date="2026-05-22T00:00:00Z">
        <w:r>
          <w:t xml:space="preserve"> </w:t>
        </w:r>
      </w:ins>
      <w:ins w:id="10034" w:author="Z. Zukowski" w:date="2026-05-22T00:00:00Z">
        <w:r>
          <w:t xml:space="preserve">(hard-to-change constraints) and</w:t>
        </w:r>
      </w:ins>
      <w:ins w:id="10034" w:author="Z. Zukowski" w:date="2026-05-22T00:00:00Z">
        <w:r>
          <w:t xml:space="preserve"> </w:t>
        </w:r>
      </w:ins>
      <w:ins w:id="10034" w:author="Z. Zukowski" w:date="2026-05-22T00:00:00Z">
        <w:r>
          <w:t xml:space="preserve">“policy</w:t>
        </w:r>
      </w:ins>
      <w:ins w:id="10034" w:author="Z. Zukowski" w:date="2026-05-22T00:00:00Z">
        <w:r>
          <w:t xml:space="preserve"> </w:t>
        </w:r>
      </w:ins>
      <w:ins w:id="10034" w:author="Z. Zukowski" w:date="2026-05-22T00:00:00Z">
        <w:r>
          <w:t xml:space="preserve">layer”</w:t>
        </w:r>
      </w:ins>
      <w:ins w:id="10034" w:author="Z. Zukowski" w:date="2026-05-22T00:00:00Z">
        <w:r>
          <w:t xml:space="preserve"> </w:t>
        </w:r>
      </w:ins>
      <w:ins w:id="10034" w:author="Z. Zukowski" w:date="2026-05-22T00:00:00Z">
        <w:r>
          <w:t xml:space="preserve">(adjustable parameters). North’s (1990) further distinction, between institutions as the rules of the game and organizations as the players who act within them, is load-bearing for the audit this paper develops: a concentration measure must separate the formal voting rules from the players who actually hold and exercise voting power. The protocol-controlled-address exclusion step is that separation made operational, removing addresses that are part of the protocol’s own infrastructure rather than players in its governance before any concentration statistic is computed, which is the sense in which the unit of control must be identified before holder-list concentration can be read.</w:t>
        </w:r>
      </w:ins>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35" w:author="Z. Zukowski" w:date="2026-05-22T00:00:00Z">
        <w:r>
          <w:t xml:space="preserve">Across economics, computer science, political philosophy, and</w:t>
        </w:r>
      </w:ins>
      <w:ins w:id="10035" w:author="Z. Zukowski" w:date="2026-05-22T00:00:00Z">
        <w:r>
          <w:t xml:space="preserve"> </w:t>
        </w:r>
      </w:ins>
      <w:ins w:id="10035" w:author="Z. Zukowski" w:date="2026-05-22T00:00:00Z">
        <w:r>
          <w:t xml:space="preserve">institutional analysis, a shared conclusion emerges: tokenized systems</w:t>
        </w:r>
      </w:ins>
      <w:ins w:id="10035" w:author="Z. Zukowski" w:date="2026-05-22T00:00:00Z">
        <w:r>
          <w:t xml:space="preserve"> </w:t>
        </w:r>
      </w:ins>
      <w:ins w:id="10035" w:author="Z. Zukowski" w:date="2026-05-22T00:00:00Z">
        <w:r>
          <w:t xml:space="preserve">create constitutions and policies in code (Werner et al., 2022). Yet</w:t>
        </w:r>
      </w:ins>
      <w:ins w:id="10035" w:author="Z. Zukowski" w:date="2026-05-22T00:00:00Z">
        <w:r>
          <w:t xml:space="preserve"> </w:t>
        </w:r>
      </w:ins>
      <w:ins w:id="10035" w:author="Z. Zukowski" w:date="2026-05-22T00:00:00Z">
        <w:r>
          <w:t xml:space="preserve">existing literature rarely measures who can exercise governance power</w:t>
        </w:r>
      </w:ins>
      <w:ins w:id="10035" w:author="Z. Zukowski" w:date="2026-05-22T00:00:00Z">
        <w:r>
          <w:t xml:space="preserve"> </w:t>
        </w:r>
      </w:ins>
      <w:ins w:id="10035" w:author="Z. Zukowski" w:date="2026-05-22T00:00:00Z">
        <w:r>
          <w:t xml:space="preserve">after token distribution, PCA correction, and delegation. This paper</w:t>
        </w:r>
      </w:ins>
      <w:ins w:id="10035" w:author="Z. Zukowski" w:date="2026-05-22T00:00:00Z">
        <w:r>
          <w:t xml:space="preserve"> </w:t>
        </w:r>
      </w:ins>
      <w:ins w:id="10035" w:author="Z. Zukowski" w:date="2026-05-22T00:00:00Z">
        <w:r>
          <w:t xml:space="preserve">addresses the gap empirically; Section 3 specifies the data and methods, Section 4 reports the results, and the four contributions stated in Section 1.1 are developed across them.</w:t>
        </w:r>
      </w:ins>
    </w:p>
    <w:bookmarkEnd w:id="30"/>
    <w:bookmarkEnd w:id="31"/>
    <w:bookmarkStart w:id="46"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6"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7"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8" w:author="Z. Zukowski" w:date="2026-05-22T00:00:00Z">
        <w:r>
          <w:rPr>
            <w:b/>
            <w:bCs/>
          </w:rPr>
          <w:t xml:space="preserve">Sample flow (March 2026 snapshot).</w:t>
        </w:r>
      </w:ins>
      <w:ins w:id="10038" w:author="Z. Zukowski" w:date="2026-05-22T00:00:00Z">
        <w:r>
          <w:t xml:space="preserve"> </w:t>
        </w:r>
      </w:ins>
      <w:ins w:id="10038" w:author="Z. Zukowski" w:date="2026-05-22T00:00:00Z">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a sample-size-robustness extension that relaxes the non-zero filter to include the twelve genuine-zero-subsidy protocols (N = 35, and N = 34 excluding Livepeer) is reported in Section 4.6.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9" w:author="Z. Zukowski" w:date="2026-05-22T00:00:00Z">
        <w:r>
          <w:rPr>
            <w:b/>
            <w:bCs/>
          </w:rPr>
          <w:t xml:space="preserve">Sampling principles.</w:t>
        </w:r>
      </w:ins>
      <w:ins w:id="10039" w:author="Z. Zukowski" w:date="2026-05-22T00:00:00Z">
        <w:r>
          <w:t xml:space="preserve"> </w:t>
        </w:r>
      </w:ins>
      <w:ins w:id="10039" w:author="Z. Zukowski" w:date="2026-05-22T00:00:00Z">
        <w:r>
          <w:t xml:space="preserve">Protocols were selected to (i) span multiple</w:t>
        </w:r>
      </w:ins>
      <w:ins w:id="10039" w:author="Z. Zukowski" w:date="2026-05-22T00:00:00Z">
        <w:r>
          <w:t xml:space="preserve"> </w:t>
        </w:r>
      </w:ins>
      <w:ins w:id="10039" w:author="Z. Zukowski" w:date="2026-05-22T00:00:00Z">
        <w:r>
          <w:t xml:space="preserve">categories (L1/L2, DeFi, infrastructure/oracles, DePIN, social),</w:t>
        </w:r>
      </w:ins>
      <w:ins w:id="10039" w:author="Z. Zukowski" w:date="2026-05-22T00:00:00Z">
        <w:r>
          <w:t xml:space="preserve"> </w:t>
        </w:r>
      </w:ins>
      <w:ins w:id="10039" w:author="Z. Zukowski" w:date="2026-05-22T00:00:00Z">
        <w:r>
          <w:t xml:space="preserve">(ii) include</w:t>
        </w:r>
      </w:ins>
      <w:ins w:id="10039" w:author="Z. Zukowski" w:date="2026-05-22T00:00:00Z">
        <w:r>
          <w:t xml:space="preserve"> </w:t>
        </w:r>
      </w:ins>
      <w:ins w:id="10039" w:author="Z. Zukowski" w:date="2026-05-22T00:00:00Z">
        <w:r>
          <w:t xml:space="preserve">“dead”</w:t>
        </w:r>
      </w:ins>
      <w:ins w:id="10039" w:author="Z. Zukowski" w:date="2026-05-22T00:00:00Z">
        <w:r>
          <w:t xml:space="preserve"> </w:t>
        </w:r>
      </w:ins>
      <w:ins w:id="10039" w:author="Z. Zukowski" w:date="2026-05-22T00:00:00Z">
        <w:r>
          <w:t xml:space="preserve">or stagnated projects to reduce survivorship bias,</w:t>
        </w:r>
      </w:ins>
      <w:ins w:id="10039" w:author="Z. Zukowski" w:date="2026-05-22T00:00:00Z">
        <w:r>
          <w:t xml:space="preserve"> </w:t>
        </w:r>
      </w:ins>
      <w:ins w:id="10039" w:author="Z. Zukowski" w:date="2026-05-22T00:00:00Z">
        <w:r>
          <w:t xml:space="preserve">and (iii) stratify by chain and launch epoch to control for regime</w:t>
        </w:r>
      </w:ins>
      <w:ins w:id="10039" w:author="Z. Zukowski" w:date="2026-05-22T00:00:00Z">
        <w:r>
          <w:t xml:space="preserve"> </w:t>
        </w:r>
      </w:ins>
      <w:ins w:id="10039"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40" w:author="Z. Zukowski" w:date="2026-05-22T00:00:00Z">
        <w:r>
          <w:t xml:space="preserve">The HHI and Top-N values in Table 3 reflect the canonical top-1,000</w:t>
        </w:r>
      </w:ins>
      <w:ins w:id="10040" w:author="Z. Zukowski" w:date="2026-05-22T00:00:00Z">
        <w:r>
          <w:t xml:space="preserve"> </w:t>
        </w:r>
      </w:ins>
      <w:ins w:id="10040" w:author="Z. Zukowski" w:date="2026-05-22T00:00:00Z">
        <w:r>
          <w:t xml:space="preserve">pre-exclusion computation; strict application of the (1,000 + PCAs)</w:t>
        </w:r>
      </w:ins>
      <w:ins w:id="10040" w:author="Z. Zukowski" w:date="2026-05-22T00:00:00Z">
        <w:r>
          <w:t xml:space="preserve"> </w:t>
        </w:r>
      </w:ins>
      <w:ins w:id="10040" w:author="Z. Zukowski" w:date="2026-05-22T00:00:00Z">
        <w:r>
          <w:t xml:space="preserve">pre-exclusion convention reported in the N column would yield HHI</w:t>
        </w:r>
      </w:ins>
      <w:ins w:id="10040" w:author="Z. Zukowski" w:date="2026-05-22T00:00:00Z">
        <w:r>
          <w:t xml:space="preserve"> </w:t>
        </w:r>
      </w:ins>
      <w:ins w:id="10040" w:author="Z. Zukowski" w:date="2026-05-22T00:00:00Z">
        <w:r>
          <w:t xml:space="preserve">shifts below 0.0001 and Top-N shifts below 0.1 percentage points,</w:t>
        </w:r>
      </w:ins>
      <w:ins w:id="10040" w:author="Z. Zukowski" w:date="2026-05-22T00:00:00Z">
        <w:r>
          <w:t xml:space="preserve"> </w:t>
        </w:r>
      </w:ins>
      <w:ins w:id="10040"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41"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ins>
    </w:p>
    <w:p>
      <w:pPr>
        <w:pStyle w:val="BodyText"/>
      </w:pPr>
      <w:ins w:id="10042" w:author="Z. Zukowski" w:date="2026-05-22T00:00:00Z">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ins>
    </w:p>
    <w:p>
      <w:pPr>
        <w:pStyle w:val="BodyText"/>
      </w:pPr>
      <w:ins w:id="10043" w:author="Z. Zukowski" w:date="2026-05-22T00:00:00Z">
        <w:r>
          <w:t xml:space="preserve">Snapshot date discipline for governance-power data: the Table 6 voting</w:t>
        </w:r>
      </w:ins>
      <w:ins w:id="10043" w:author="Z. Zukowski" w:date="2026-05-22T00:00:00Z">
        <w:r>
          <w:t xml:space="preserve"> </w:t>
        </w:r>
      </w:ins>
      <w:ins w:id="10043" w:author="Z. Zukowski" w:date="2026-05-22T00:00:00Z">
        <w:r>
          <w:t xml:space="preserve">HHI values are computed over a 12-month rolling window (2025-05-22 to</w:t>
        </w:r>
      </w:ins>
      <w:ins w:id="10043" w:author="Z. Zukowski" w:date="2026-05-22T00:00:00Z">
        <w:r>
          <w:t xml:space="preserve"> </w:t>
        </w:r>
      </w:ins>
      <w:ins w:id="10043" w:author="Z. Zukowski" w:date="2026-05-22T00:00:00Z">
        <w:r>
          <w:t xml:space="preserve">2026-05-22) of Tally and Snapshot governance data, while the Table 3</w:t>
        </w:r>
      </w:ins>
      <w:ins w:id="10043" w:author="Z. Zukowski" w:date="2026-05-22T00:00:00Z">
        <w:r>
          <w:t xml:space="preserve"> </w:t>
        </w:r>
      </w:ins>
      <w:ins w:id="10043" w:author="Z. Zukowski" w:date="2026-05-22T00:00:00Z">
        <w:r>
          <w:t xml:space="preserve">holding HHI uses a March 2026 holder-list snapshot. Voting-power</w:t>
        </w:r>
      </w:ins>
      <w:ins w:id="10043" w:author="Z. Zukowski" w:date="2026-05-22T00:00:00Z">
        <w:r>
          <w:t xml:space="preserve"> </w:t>
        </w:r>
      </w:ins>
      <w:ins w:id="10043" w:author="Z. Zukowski" w:date="2026-05-22T00:00:00Z">
        <w:r>
          <w:t xml:space="preserve">distributions can drift over multi-month windows, so replication runs</w:t>
        </w:r>
      </w:ins>
      <w:ins w:id="10043" w:author="Z. Zukowski" w:date="2026-05-22T00:00:00Z">
        <w:r>
          <w:t xml:space="preserve"> </w:t>
        </w:r>
      </w:ins>
      <w:ins w:id="10043" w:author="Z. Zukowski" w:date="2026-05-22T00:00:00Z">
        <w:r>
          <w:t xml:space="preserve">using fresh data should expect comparable but not identical voting HHI</w:t>
        </w:r>
      </w:ins>
      <w:ins w:id="10043" w:author="Z. Zukowski" w:date="2026-05-22T00:00:00Z">
        <w:r>
          <w:t xml:space="preserve"> </w:t>
        </w:r>
      </w:ins>
      <w:ins w:id="10043" w:author="Z. Zukowski" w:date="2026-05-22T00:00:00Z">
        <w:r>
          <w:t xml:space="preserve">values, with rank ordering across protocols the more durable inferential</w:t>
        </w:r>
      </w:ins>
      <w:ins w:id="10043" w:author="Z. Zukowski" w:date="2026-05-22T00:00:00Z">
        <w:r>
          <w:t xml:space="preserve"> </w:t>
        </w:r>
      </w:ins>
      <w:ins w:id="10043" w:author="Z. Zukowski" w:date="2026-05-22T00:00:00Z">
        <w:r>
          <w:t xml:space="preserve">property than absolute magnitude. Two robustness checks support this</w:t>
        </w:r>
      </w:ins>
      <w:ins w:id="10043" w:author="Z. Zukowski" w:date="2026-05-22T00:00:00Z">
        <w:r>
          <w:t xml:space="preserve"> </w:t>
        </w:r>
      </w:ins>
      <w:ins w:id="10043" w:author="Z. Zukowski" w:date="2026-05-22T00:00:00Z">
        <w:r>
          <w:t xml:space="preserve">durability claim. First, Table 6b recomputes pooled voting HHI over each</w:t>
        </w:r>
      </w:ins>
      <w:ins w:id="10043" w:author="Z. Zukowski" w:date="2026-05-22T00:00:00Z">
        <w:r>
          <w:t xml:space="preserve"> </w:t>
        </w:r>
      </w:ins>
      <w:ins w:id="10043" w:author="Z. Zukowski" w:date="2026-05-22T00:00:00Z">
        <w:r>
          <w:t xml:space="preserve">protocol’s complete same-surface proposal history for the twelve</w:t>
        </w:r>
      </w:ins>
      <w:ins w:id="10043" w:author="Z. Zukowski" w:date="2026-05-22T00:00:00Z">
        <w:r>
          <w:t xml:space="preserve"> </w:t>
        </w:r>
      </w:ins>
      <w:ins w:id="10043" w:author="Z. Zukowski" w:date="2026-05-22T00:00:00Z">
        <w:r>
          <w:t xml:space="preserve">protocols with a same-surface full-history pool; the 12-month and</w:t>
        </w:r>
      </w:ins>
      <w:ins w:id="10043" w:author="Z. Zukowski" w:date="2026-05-22T00:00:00Z">
        <w:r>
          <w:t xml:space="preserve"> </w:t>
        </w:r>
      </w:ins>
      <w:ins w:id="10043" w:author="Z. Zukowski" w:date="2026-05-22T00:00:00Z">
        <w:r>
          <w:t xml:space="preserve">full-history values are rank-stable (Spearman rho = 0.87) and preserve</w:t>
        </w:r>
      </w:ins>
      <w:ins w:id="10043" w:author="Z. Zukowski" w:date="2026-05-22T00:00:00Z">
        <w:r>
          <w:t xml:space="preserve"> </w:t>
        </w:r>
      </w:ins>
      <w:ins w:id="10043" w:author="Z. Zukowski" w:date="2026-05-22T00:00:00Z">
        <w:r>
          <w:t xml:space="preserve">every amplify-or-disperse classification. Second, Section 4.5.4.2 reports</w:t>
        </w:r>
      </w:ins>
      <w:ins w:id="10043" w:author="Z. Zukowski" w:date="2026-05-22T00:00:00Z">
        <w:r>
          <w:t xml:space="preserve"> </w:t>
        </w:r>
      </w:ins>
      <w:ins w:id="10043" w:author="Z. Zukowski" w:date="2026-05-22T00:00:00Z">
        <w:r>
          <w:t xml:space="preserve">per-period voting-HHI trajectories that are stable across multi-year</w:t>
        </w:r>
      </w:ins>
      <w:ins w:id="10043" w:author="Z. Zukowski" w:date="2026-05-22T00:00:00Z">
        <w:r>
          <w:t xml:space="preserve"> </w:t>
        </w:r>
      </w:ins>
      <w:ins w:id="10043" w:author="Z. Zukowski" w:date="2026-05-22T00:00:00Z">
        <w:r>
          <w:t xml:space="preserve">windows of normal participation. Section 4.6 reports a PCA-symmetric</w:t>
        </w:r>
      </w:ins>
      <w:ins w:id="10043" w:author="Z. Zukowski" w:date="2026-05-22T00:00:00Z">
        <w:r>
          <w:t xml:space="preserve"> </w:t>
        </w:r>
      </w:ins>
      <w:ins w:id="10043" w:author="Z. Zukowski" w:date="2026-05-22T00:00:00Z">
        <w:r>
          <w:t xml:space="preserve">voting-HHI sensitivity check.</w:t>
        </w:r>
      </w:ins>
    </w:p>
    <w:p>
      <w:pPr>
        <w:pStyle w:val="BodyText"/>
      </w:pPr>
      <w:ins w:id="10044" w:author="Z. Zukowski" w:date="2026-05-22T00:00:00Z">
        <w:r>
          <w:rPr>
            <w:b/>
            <w:bCs/>
          </w:rPr>
          <w:t xml:space="preserve">Voting-HHI sampling methodology.</w:t>
        </w:r>
      </w:ins>
      <w:ins w:id="10044" w:author="Z. Zukowski" w:date="2026-05-22T00:00:00Z">
        <w:r>
          <w:t xml:space="preserve"> </w:t>
        </w:r>
      </w:ins>
      <w:ins w:id="10044" w:author="Z. Zukowski" w:date="2026-05-22T00:00:00Z">
        <w:r>
          <w:t xml:space="preserve">The Table 6 voting-HHI column uses</w:t>
        </w:r>
      </w:ins>
      <w:ins w:id="10044" w:author="Z. Zukowski" w:date="2026-05-22T00:00:00Z">
        <w:r>
          <w:t xml:space="preserve"> </w:t>
        </w:r>
      </w:ins>
      <w:ins w:id="10044" w:author="Z. Zukowski" w:date="2026-05-22T00:00:00Z">
        <w:r>
          <w:t xml:space="preserve">comprehensive sampling on both Tally and Snapshot sides: Tally pulls top-1,000</w:t>
        </w:r>
      </w:ins>
      <w:ins w:id="10044" w:author="Z. Zukowski" w:date="2026-05-22T00:00:00Z">
        <w:r>
          <w:t xml:space="preserve"> </w:t>
        </w:r>
      </w:ins>
      <w:ins w:id="10044" w:author="Z. Zukowski" w:date="2026-05-22T00:00:00Z">
        <w:r>
          <w:t xml:space="preserve">delegates per protocol via paginated GraphQL queries (Aave pulled at all-</w:t>
        </w:r>
      </w:ins>
      <w:ins w:id="10044" w:author="Z. Zukowski" w:date="2026-05-22T00:00:00Z">
        <w:r>
          <w:t xml:space="preserve"> </w:t>
        </w:r>
      </w:ins>
      <w:ins w:id="10044" w:author="Z. Zukowski" w:date="2026-05-22T00:00:00Z">
        <w:r>
          <w:t xml:space="preserve">delegates depth N = 150,911 as a methodology-floor sensitivity anchor); Snapshot</w:t>
        </w:r>
      </w:ins>
      <w:ins w:id="10044" w:author="Z. Zukowski" w:date="2026-05-22T00:00:00Z">
        <w:r>
          <w:t xml:space="preserve"> </w:t>
        </w:r>
      </w:ins>
      <w:ins w:id="10044" w:author="Z. Zukowski" w:date="2026-05-22T00:00:00Z">
        <w:r>
          <w:t xml:space="preserve">pulls ALL proposals in the 12-month rolling window 2025-05-22 to 2026-05-22</w:t>
        </w:r>
      </w:ins>
      <w:ins w:id="10044" w:author="Z. Zukowski" w:date="2026-05-22T00:00:00Z">
        <w:r>
          <w:t xml:space="preserve"> </w:t>
        </w:r>
      </w:ins>
      <w:ins w:id="10044" w:author="Z. Zukowski" w:date="2026-05-22T00:00:00Z">
        <w:r>
          <w:t xml:space="preserve">and aggregates unique voters across all proposals weighted by maximum voting</w:t>
        </w:r>
      </w:ins>
      <w:ins w:id="10044" w:author="Z. Zukowski" w:date="2026-05-22T00:00:00Z">
        <w:r>
          <w:t xml:space="preserve"> </w:t>
        </w:r>
      </w:ins>
      <w:ins w:id="10044" w:author="Z. Zukowski" w:date="2026-05-22T00:00:00Z">
        <w:r>
          <w:t xml:space="preserve">power per voter. For high-volume protocols (ARB, COMP, LDO), this comprehensive</w:t>
        </w:r>
      </w:ins>
      <w:ins w:id="10044" w:author="Z. Zukowski" w:date="2026-05-22T00:00:00Z">
        <w:r>
          <w:t xml:space="preserve"> </w:t>
        </w:r>
      </w:ins>
      <w:ins w:id="10044" w:author="Z. Zukowski" w:date="2026-05-22T00:00:00Z">
        <w:r>
          <w:t xml:space="preserve">sampling yields large unique-voter counts (ARB N = 5,466; LDO N = 333;</w:t>
        </w:r>
      </w:ins>
      <w:ins w:id="10044" w:author="Z. Zukowski" w:date="2026-05-22T00:00:00Z">
        <w:r>
          <w:t xml:space="preserve"> </w:t>
        </w:r>
      </w:ins>
      <w:ins w:id="10044" w:author="Z. Zukowski" w:date="2026-05-22T00:00:00Z">
        <w:r>
          <w:t xml:space="preserve">COMP N = 138). Low-volume protocols (DIMO and WeatherXM with 4 or fewer</w:t>
        </w:r>
      </w:ins>
      <w:ins w:id="10044" w:author="Z. Zukowski" w:date="2026-05-22T00:00:00Z">
        <w:r>
          <w:t xml:space="preserve"> </w:t>
        </w:r>
      </w:ins>
      <w:ins w:id="10044" w:author="Z. Zukowski" w:date="2026-05-22T00:00:00Z">
        <w:r>
          <w:t xml:space="preserve">proposals total) experience no methodology-induced N expansion; DIMO N = 10</w:t>
        </w:r>
      </w:ins>
      <w:ins w:id="10044" w:author="Z. Zukowski" w:date="2026-05-22T00:00:00Z">
        <w:r>
          <w:t xml:space="preserve"> </w:t>
        </w:r>
      </w:ins>
      <w:ins w:id="10044" w:author="Z. Zukowski" w:date="2026-05-22T00:00:00Z">
        <w:r>
          <w:t xml:space="preserve">is genuine across the protocol’s entire 12-month proposal history. Solana-</w:t>
        </w:r>
      </w:ins>
      <w:ins w:id="10044" w:author="Z. Zukowski" w:date="2026-05-22T00:00:00Z">
        <w:r>
          <w:t xml:space="preserve"> </w:t>
        </w:r>
      </w:ins>
      <w:ins w:id="10044" w:author="Z. Zukowski" w:date="2026-05-22T00:00:00Z">
        <w:r>
          <w:t xml:space="preserve">native protocols (JUP, HNT, DRIFT) use on-chain governance program parsing</w:t>
        </w:r>
      </w:ins>
      <w:ins w:id="10044" w:author="Z. Zukowski" w:date="2026-05-22T00:00:00Z">
        <w:r>
          <w:t xml:space="preserve"> </w:t>
        </w:r>
      </w:ins>
      <w:ins w:id="10044" w:author="Z. Zukowski" w:date="2026-05-22T00:00:00Z">
        <w:r>
          <w:t xml:space="preserve">because Tally is not deployed for Solana protocols (JUP via Dune</w:t>
        </w:r>
      </w:ins>
      <w:ins w:id="10044" w:author="Z. Zukowski" w:date="2026-05-22T00:00:00Z">
        <w:r>
          <w:t xml:space="preserve"> </w:t>
        </w:r>
      </w:ins>
      <w:ins w:id="10044" w:author="Z. Zukowski" w:date="2026-05-22T00:00:00Z">
        <w:r>
          <w:rPr>
            <w:rStyle w:val="VerbatimChar"/>
          </w:rPr>
          <w:t xml:space="preserve">jupiter_solana.govern_call_setvote</w:t>
        </w:r>
      </w:ins>
      <w:ins w:id="10044" w:author="Z. Zukowski" w:date="2026-05-22T00:00:00Z">
        <w:r>
          <w:t xml:space="preserve"> </w:t>
        </w:r>
      </w:ins>
      <w:ins w:id="10044" w:author="Z. Zukowski" w:date="2026-05-22T00:00:00Z">
        <w:r>
          <w:t xml:space="preserve">per-signer max-weight aggregation;</w:t>
        </w:r>
      </w:ins>
      <w:ins w:id="10044" w:author="Z. Zukowski" w:date="2026-05-22T00:00:00Z">
        <w:r>
          <w:t xml:space="preserve"> </w:t>
        </w:r>
      </w:ins>
      <w:ins w:id="10044" w:author="Z. Zukowski" w:date="2026-05-22T00:00:00Z">
        <w:r>
          <w:t xml:space="preserve">DRIFT via Helius RPC parsing of SPL Governance VoteRecordV2 accounts and HNT via Helius RPC reconstruction of Voter Stake Registry (VSR) lockup-position state, both protocols under VSR lockup-weighted vote design).</w:t>
        </w:r>
      </w:ins>
    </w:p>
    <w:p>
      <w:pPr>
        <w:pStyle w:val="BodyText"/>
      </w:pPr>
      <w:ins w:id="10045" w:author="Z. Zukowski" w:date="2026-05-22T00:00:00Z">
        <w:r>
          <w:t xml:space="preserve">The asymmetric capping reflects what each platform’s N represents: Tally caps</w:t>
        </w:r>
      </w:ins>
      <w:ins w:id="10045" w:author="Z. Zukowski" w:date="2026-05-22T00:00:00Z">
        <w:r>
          <w:t xml:space="preserve"> </w:t>
        </w:r>
      </w:ins>
      <w:ins w:id="10045" w:author="Z. Zukowski" w:date="2026-05-22T00:00:00Z">
        <w:r>
          <w:t xml:space="preserve">at top-1,000 to truncate the deadweight long tail of registered-but-inactive</w:t>
        </w:r>
      </w:ins>
      <w:ins w:id="10045" w:author="Z. Zukowski" w:date="2026-05-22T00:00:00Z">
        <w:r>
          <w:t xml:space="preserve"> </w:t>
        </w:r>
      </w:ins>
      <w:ins w:id="10045" w:author="Z. Zukowski" w:date="2026-05-22T00:00:00Z">
        <w:r>
          <w:t xml:space="preserve">delegates (validated as immaterial to HHI by the Aave all-delegates</w:t>
        </w:r>
      </w:ins>
      <w:ins w:id="10045" w:author="Z. Zukowski" w:date="2026-05-22T00:00:00Z">
        <w:r>
          <w:t xml:space="preserve"> </w:t>
        </w:r>
      </w:ins>
      <w:ins w:id="10045" w:author="Z. Zukowski" w:date="2026-05-22T00:00:00Z">
        <w:r>
          <w:t xml:space="preserve">sensitivity anchor at N = 150,911); Snapshot and Solana on-chain N are</w:t>
        </w:r>
      </w:ins>
      <w:ins w:id="10045" w:author="Z. Zukowski" w:date="2026-05-22T00:00:00Z">
        <w:r>
          <w:t xml:space="preserve"> </w:t>
        </w:r>
      </w:ins>
      <w:ins w:id="10045" w:author="Z. Zukowski" w:date="2026-05-22T00:00:00Z">
        <w:r>
          <w:t xml:space="preserve">uncapped because every entry is by construction an active participant within</w:t>
        </w:r>
      </w:ins>
      <w:ins w:id="10045" w:author="Z. Zukowski" w:date="2026-05-22T00:00:00Z">
        <w:r>
          <w:t xml:space="preserve"> </w:t>
        </w:r>
      </w:ins>
      <w:ins w:id="10045"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ins w:id="10046" w:author="Z. Zukowski" w:date="2026-05-22T00:00:00Z">
              <w:r>
                <w:t xml:space="preserve">VSR lockup-weighted voters; weights from VSR position-state via Helius RPC</w:t>
              </w:r>
            </w:ins>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ins w:id="10047" w:author="Z. Zukowski" w:date="2026-05-22T00:00:00Z">
              <w:r>
                <w:t xml:space="preserve">VSR lockup-weighted voters; weights from VoteRecordV2 via Helius RPC</w:t>
              </w:r>
            </w:ins>
          </w:p>
        </w:tc>
      </w:tr>
    </w:tbl>
    <w:p>
      <w:pPr>
        <w:pStyle w:val="BodyText"/>
      </w:pPr>
      <w:ins w:id="10048" w:author="Z. Zukowski" w:date="2026-05-22T00:00:00Z">
        <w:r>
          <w:rPr>
            <w:b/>
            <w:bCs/>
            <w:i/>
            <w:iCs/>
          </w:rPr>
          <w:t xml:space="preserve">Table 1.</w:t>
        </w:r>
      </w:ins>
      <w:ins w:id="10048" w:author="Z. Zukowski" w:date="2026-05-22T00:00:00Z">
        <w:r>
          <w:rPr>
            <w:i/>
            <w:iCs/>
          </w:rPr>
          <w:t xml:space="preserve"> </w:t>
        </w:r>
      </w:ins>
      <w:ins w:id="10048" w:author="Z. Zukowski" w:date="2026-05-22T00:00:00Z">
        <w:r>
          <w:rPr>
            <w:i/>
            <w:iCs/>
          </w:rPr>
          <w:t xml:space="preserve">Per-protocol active-voter sample size and methodology source for</w:t>
        </w:r>
      </w:ins>
      <w:ins w:id="10048" w:author="Z. Zukowski" w:date="2026-05-22T00:00:00Z">
        <w:r>
          <w:rPr>
            <w:i/>
            <w:iCs/>
          </w:rPr>
          <w:t xml:space="preserve"> </w:t>
        </w:r>
      </w:ins>
      <w:ins w:id="10048" w:author="Z. Zukowski" w:date="2026-05-22T00:00:00Z">
        <w:r>
          <w:rPr>
            <w:i/>
            <w:iCs/>
          </w:rPr>
          <w:t xml:space="preserve">the Table 6 voting-HHI computation. Source-specific N reflects either Tally</w:t>
        </w:r>
      </w:ins>
      <w:ins w:id="10048" w:author="Z. Zukowski" w:date="2026-05-22T00:00:00Z">
        <w:r>
          <w:rPr>
            <w:i/>
            <w:iCs/>
          </w:rPr>
          <w:t xml:space="preserve"> </w:t>
        </w:r>
      </w:ins>
      <w:ins w:id="10048" w:author="Z. Zukowski" w:date="2026-05-22T00:00:00Z">
        <w:r>
          <w:rPr>
            <w:i/>
            <w:iCs/>
          </w:rPr>
          <w:t xml:space="preserve">delegate-registry depth (top-1,000 ceiling; Aave at all-delegates anchor),</w:t>
        </w:r>
      </w:ins>
      <w:ins w:id="10048" w:author="Z. Zukowski" w:date="2026-05-22T00:00:00Z">
        <w:r>
          <w:rPr>
            <w:i/>
            <w:iCs/>
          </w:rPr>
          <w:t xml:space="preserve"> </w:t>
        </w:r>
      </w:ins>
      <w:ins w:id="10048" w:author="Z. Zukowski" w:date="2026-05-22T00:00:00Z">
        <w:r>
          <w:rPr>
            <w:i/>
            <w:iCs/>
          </w:rPr>
          <w:t xml:space="preserve">Snapshot voter-pool union across the 12-month proposal window, or Solana</w:t>
        </w:r>
      </w:ins>
      <w:ins w:id="10048" w:author="Z. Zukowski" w:date="2026-05-22T00:00:00Z">
        <w:r>
          <w:rPr>
            <w:i/>
            <w:iCs/>
          </w:rPr>
          <w:t xml:space="preserve"> </w:t>
        </w:r>
      </w:ins>
      <w:ins w:id="10048"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9" w:author="Z. Zukowski" w:date="2026-05-22T00:00:00Z">
        <w:r>
          <w:t xml:space="preserve">Insider taxonomy: the analysis distinguishes two related but distinct</w:t>
        </w:r>
      </w:ins>
      <w:ins w:id="10049" w:author="Z. Zukowski" w:date="2026-05-22T00:00:00Z">
        <w:r>
          <w:t xml:space="preserve"> </w:t>
        </w:r>
      </w:ins>
      <w:ins w:id="10049" w:author="Z. Zukowski" w:date="2026-05-22T00:00:00Z">
        <w:r>
          <w:t xml:space="preserve">constructs. Insider allocation (insider_pct) is the regression covariate</w:t>
        </w:r>
      </w:ins>
      <w:ins w:id="10049" w:author="Z. Zukowski" w:date="2026-05-22T00:00:00Z">
        <w:r>
          <w:t xml:space="preserve"> </w:t>
        </w:r>
      </w:ins>
      <w:ins w:id="10049" w:author="Z. Zukowski" w:date="2026-05-22T00:00:00Z">
        <w:r>
          <w:t xml:space="preserve">measured at token generation event (TGE; the moment a protocol first</w:t>
        </w:r>
      </w:ins>
      <w:ins w:id="10049" w:author="Z. Zukowski" w:date="2026-05-22T00:00:00Z">
        <w:r>
          <w:t xml:space="preserve"> </w:t>
        </w:r>
      </w:ins>
      <w:ins w:id="10049" w:author="Z. Zukowski" w:date="2026-05-22T00:00:00Z">
        <w:r>
          <w:t xml:space="preserve">mints and distributes its token to a defined set of recipients),</w:t>
        </w:r>
      </w:ins>
      <w:ins w:id="10049" w:author="Z. Zukowski" w:date="2026-05-22T00:00:00Z">
        <w:r>
          <w:t xml:space="preserve"> </w:t>
        </w:r>
      </w:ins>
      <w:ins w:id="10049" w:author="Z. Zukowski" w:date="2026-05-22T00:00:00Z">
        <w:r>
          <w:t xml:space="preserve">defined as team_pct + investor_pct from primary tokenomics sources.</w:t>
        </w:r>
      </w:ins>
      <w:ins w:id="10049" w:author="Z. Zukowski" w:date="2026-05-22T00:00:00Z">
        <w:r>
          <w:t xml:space="preserve"> </w:t>
        </w:r>
      </w:ins>
      <w:ins w:id="10049" w:author="Z. Zukowski" w:date="2026-05-22T00:00:00Z">
        <w:r>
          <w:t xml:space="preserve">Insider count fraction in top-10 holders is a descriptive mechanism</w:t>
        </w:r>
      </w:ins>
      <w:ins w:id="10049" w:author="Z. Zukowski" w:date="2026-05-22T00:00:00Z">
        <w:r>
          <w:t xml:space="preserve"> </w:t>
        </w:r>
      </w:ins>
      <w:ins w:id="10049" w:author="Z. Zukowski" w:date="2026-05-22T00:00:00Z">
        <w:r>
          <w:t xml:space="preserve">variable measured post-distribution from holder snapshots, defined as</w:t>
        </w:r>
      </w:ins>
      <w:ins w:id="10049" w:author="Z. Zukowski" w:date="2026-05-22T00:00:00Z">
        <w:r>
          <w:t xml:space="preserve"> </w:t>
        </w:r>
      </w:ins>
      <w:ins w:id="10049" w:author="Z. Zukowski" w:date="2026-05-22T00:00:00Z">
        <w:r>
          <w:t xml:space="preserve">the post-exclusion fraction of wallets in the top-10 classified as</w:t>
        </w:r>
      </w:ins>
      <w:ins w:id="10049" w:author="Z. Zukowski" w:date="2026-05-22T00:00:00Z">
        <w:r>
          <w:t xml:space="preserve"> </w:t>
        </w:r>
      </w:ins>
      <w:ins w:id="10049" w:author="Z. Zukowski" w:date="2026-05-22T00:00:00Z">
        <w:r>
          <w:t xml:space="preserve">insider via an evidence-based procedure. Classification combines</w:t>
        </w:r>
      </w:ins>
      <w:ins w:id="10049" w:author="Z. Zukowski" w:date="2026-05-22T00:00:00Z">
        <w:r>
          <w:t xml:space="preserve"> </w:t>
        </w:r>
      </w:ins>
      <w:ins w:id="10049" w:author="Z. Zukowski" w:date="2026-05-22T00:00:00Z">
        <w:r>
          <w:t xml:space="preserve">third-party on-chain entity labels (Nansen Address Labels), Blockscout</w:t>
        </w:r>
      </w:ins>
      <w:ins w:id="10049" w:author="Z. Zukowski" w:date="2026-05-22T00:00:00Z">
        <w:r>
          <w:t xml:space="preserve"> </w:t>
        </w:r>
      </w:ins>
      <w:ins w:id="10049" w:author="Z. Zukowski" w:date="2026-05-22T00:00:00Z">
        <w:r>
          <w:t xml:space="preserve">verified-contract labels and Dune exchange tags, vesting-contract bytecode</w:t>
        </w:r>
      </w:ins>
      <w:ins w:id="10049" w:author="Z. Zukowski" w:date="2026-05-22T00:00:00Z">
        <w:r>
          <w:t xml:space="preserve"> </w:t>
        </w:r>
      </w:ins>
      <w:ins w:id="10049" w:author="Z. Zukowski" w:date="2026-05-22T00:00:00Z">
        <w:r>
          <w:t xml:space="preserve">matching, and, for multi-signature wallets (Safe and GnosisSafe treasuries</w:t>
        </w:r>
      </w:ins>
      <w:ins w:id="10049" w:author="Z. Zukowski" w:date="2026-05-22T00:00:00Z">
        <w:r>
          <w:t xml:space="preserve"> </w:t>
        </w:r>
      </w:ins>
      <w:ins w:id="10049" w:author="Z. Zukowski" w:date="2026-05-22T00:00:00Z">
        <w:r>
          <w:t xml:space="preserve">where several authorized parties must each sign a transaction to authorize</w:t>
        </w:r>
      </w:ins>
      <w:ins w:id="10049" w:author="Z. Zukowski" w:date="2026-05-22T00:00:00Z">
        <w:r>
          <w:t xml:space="preserve"> </w:t>
        </w:r>
      </w:ins>
      <w:ins w:id="10049" w:author="Z. Zukowski" w:date="2026-05-22T00:00:00Z">
        <w:r>
          <w:t xml:space="preserve">fund movement), deployer-and-signer tracing. The governing rule for</w:t>
        </w:r>
      </w:ins>
      <w:ins w:id="10049" w:author="Z. Zukowski" w:date="2026-05-22T00:00:00Z">
        <w:r>
          <w:t xml:space="preserve"> </w:t>
        </w:r>
      </w:ins>
      <w:ins w:id="10049" w:author="Z. Zukowski" w:date="2026-05-22T00:00:00Z">
        <w:r>
          <w:t xml:space="preserve">multi-signature wallets is team-confirmation: a Safe counts as insider</w:t>
        </w:r>
      </w:ins>
      <w:ins w:id="10049" w:author="Z. Zukowski" w:date="2026-05-22T00:00:00Z">
        <w:r>
          <w:t xml:space="preserve"> </w:t>
        </w:r>
      </w:ins>
      <w:ins w:id="10049" w:author="Z. Zukowski" w:date="2026-05-22T00:00:00Z">
        <w:r>
          <w:t xml:space="preserve">only when its deployer or signing set resolves to the protocol team,</w:t>
        </w:r>
      </w:ins>
      <w:ins w:id="10049" w:author="Z. Zukowski" w:date="2026-05-22T00:00:00Z">
        <w:r>
          <w:t xml:space="preserve"> </w:t>
        </w:r>
      </w:ins>
      <w:ins w:id="10049" w:author="Z. Zukowski" w:date="2026-05-22T00:00:00Z">
        <w:r>
          <w:t xml:space="preserve">founder, or a named investor, rather than treating any multisig as insider</w:t>
        </w:r>
      </w:ins>
      <w:ins w:id="10049" w:author="Z. Zukowski" w:date="2026-05-22T00:00:00Z">
        <w:r>
          <w:t xml:space="preserve"> </w:t>
        </w:r>
      </w:ins>
      <w:ins w:id="10049" w:author="Z. Zukowski" w:date="2026-05-22T00:00:00Z">
        <w:r>
          <w:t xml:space="preserve">by default. This rule corrects a systematic over-count present in</w:t>
        </w:r>
      </w:ins>
      <w:ins w:id="10049" w:author="Z. Zukowski" w:date="2026-05-22T00:00:00Z">
        <w:r>
          <w:t xml:space="preserve"> </w:t>
        </w:r>
      </w:ins>
      <w:ins w:id="10049" w:author="Z. Zukowski" w:date="2026-05-22T00:00:00Z">
        <w:r>
          <w:t xml:space="preserve">keyword-only classification, in which independent large holders’ Safes</w:t>
        </w:r>
      </w:ins>
      <w:ins w:id="10049" w:author="Z. Zukowski" w:date="2026-05-22T00:00:00Z">
        <w:r>
          <w:t xml:space="preserve"> </w:t>
        </w:r>
      </w:ins>
      <w:ins w:id="10049" w:author="Z. Zukowski" w:date="2026-05-22T00:00:00Z">
        <w:r>
          <w:t xml:space="preserve">were attributed to the team: of seventeen high-share bare Safes traced</w:t>
        </w:r>
      </w:ins>
      <w:ins w:id="10049" w:author="Z. Zukowski" w:date="2026-05-22T00:00:00Z">
        <w:r>
          <w:t xml:space="preserve"> </w:t>
        </w:r>
      </w:ins>
      <w:ins w:id="10049" w:author="Z. Zukowski" w:date="2026-05-22T00:00:00Z">
        <w:r>
          <w:t xml:space="preserve">across the cross-section, six resolve to protocol teams and eleven to</w:t>
        </w:r>
      </w:ins>
      <w:ins w:id="10049" w:author="Z. Zukowski" w:date="2026-05-22T00:00:00Z">
        <w:r>
          <w:t xml:space="preserve"> </w:t>
        </w:r>
      </w:ins>
      <w:ins w:id="10049" w:author="Z. Zukowski" w:date="2026-05-22T00:00:00Z">
        <w:r>
          <w:t xml:space="preserve">independent holders, with three deployer traces documented as worked</w:t>
        </w:r>
      </w:ins>
      <w:ins w:id="10049" w:author="Z. Zukowski" w:date="2026-05-22T00:00:00Z">
        <w:r>
          <w:t xml:space="preserve"> </w:t>
        </w:r>
      </w:ins>
      <w:ins w:id="10049" w:author="Z. Zukowski" w:date="2026-05-22T00:00:00Z">
        <w:r>
          <w:t xml:space="preserve">exemplars in</w:t>
        </w:r>
      </w:ins>
      <w:ins w:id="10049" w:author="Z. Zukowski" w:date="2026-05-22T00:00:00Z">
        <w:r>
          <w:t xml:space="preserve"> </w:t>
        </w:r>
      </w:ins>
      <w:hyperlink r:id="rId36">
        <w:ins w:id="10049" w:author="Z. Zukowski" w:date="2026-05-22T00:00:00Z">
          <w:r>
            <w:rPr>
              <w:rStyle w:val="Hyperlink"/>
            </w:rPr>
            <w:t xml:space="preserve">Supplementary File S22</w:t>
          </w:r>
        </w:ins>
      </w:hyperlink>
      <w:ins w:id="10049" w:author="Z. Zukowski" w:date="2026-05-22T00:00:00Z">
        <w:r>
          <w:t xml:space="preserve"> </w:t>
        </w:r>
      </w:ins>
      <w:ins w:id="10049" w:author="Z. Zukowski" w:date="2026-05-22T00:00:00Z">
        <w:r>
          <w:t xml:space="preserve">(the insider classification of record</w:t>
        </w:r>
      </w:ins>
      <w:ins w:id="10049" w:author="Z. Zukowski" w:date="2026-05-22T00:00:00Z">
        <w:r>
          <w:t xml:space="preserve"> </w:t>
        </w:r>
      </w:ins>
      <w:ins w:id="10049" w:author="Z. Zukowski" w:date="2026-05-22T00:00:00Z">
        <w:r>
          <w:t xml:space="preserve">and the seventeen-Safe verdict table) within the replication package</w:t>
        </w:r>
      </w:ins>
      <w:ins w:id="10049" w:author="Z. Zukowski" w:date="2026-05-22T00:00:00Z">
        <w:r>
          <w:t xml:space="preserve"> </w:t>
        </w:r>
      </w:ins>
      <w:ins w:id="10049" w:author="Z. Zukowski" w:date="2026-05-22T00:00:00Z">
        <w:r>
          <w:t xml:space="preserve">(Section 5.9).</w:t>
        </w:r>
      </w:ins>
    </w:p>
    <w:p>
      <w:pPr>
        <w:pStyle w:val="BodyText"/>
      </w:pPr>
      <w:ins w:id="10050" w:author="Z. Zukowski" w:date="2026-05-22T00:00:00Z">
        <w:r>
          <w:t xml:space="preserve">Protocol-controlled addresses (PCAs) are removed before holding HHI is</w:t>
        </w:r>
      </w:ins>
      <w:ins w:id="10050" w:author="Z. Zukowski" w:date="2026-05-22T00:00:00Z">
        <w:r>
          <w:t xml:space="preserve"> </w:t>
        </w:r>
      </w:ins>
      <w:ins w:id="10050" w:author="Z. Zukowski" w:date="2026-05-22T00:00:00Z">
        <w:r>
          <w:t xml:space="preserve">computed (133 exclusions across 38 protocols per the exclusions log,</w:t>
        </w:r>
      </w:ins>
      <w:ins w:id="10050" w:author="Z. Zukowski" w:date="2026-05-22T00:00:00Z">
        <w:r>
          <w:t xml:space="preserve"> </w:t>
        </w:r>
      </w:ins>
      <w:ins w:id="10050" w:author="Z. Zukowski" w:date="2026-05-22T00:00:00Z">
        <w:r>
          <w:t xml:space="preserve">spanning 125 distinct addresses, five of which recur across multiple</w:t>
        </w:r>
      </w:ins>
      <w:ins w:id="10050" w:author="Z. Zukowski" w:date="2026-05-22T00:00:00Z">
        <w:r>
          <w:t xml:space="preserve"> </w:t>
        </w:r>
      </w:ins>
      <w:ins w:id="10050" w:author="Z. Zukowski" w:date="2026-05-22T00:00:00Z">
        <w:r>
          <w:t xml:space="preserve">protocols), and they are not counted as insiders in the insider count</w:t>
        </w:r>
      </w:ins>
      <w:ins w:id="10050" w:author="Z. Zukowski" w:date="2026-05-22T00:00:00Z">
        <w:r>
          <w:t xml:space="preserve"> </w:t>
        </w:r>
      </w:ins>
      <w:ins w:id="10050" w:author="Z. Zukowski" w:date="2026-05-22T00:00:00Z">
        <w:r>
          <w:t xml:space="preserve">fraction. Solana-native protocols were re-classified against the same entity-label</w:t>
        </w:r>
      </w:ins>
      <w:ins w:id="10050" w:author="Z. Zukowski" w:date="2026-05-22T00:00:00Z">
        <w:r>
          <w:t xml:space="preserve"> </w:t>
        </w:r>
      </w:ins>
      <w:ins w:id="10050" w:author="Z. Zukowski" w:date="2026-05-22T00:00:00Z">
        <w:r>
          <w:t xml:space="preserve">and deployer-tracing standard: the ambiguous large holders of the</w:t>
        </w:r>
      </w:ins>
      <w:ins w:id="10050" w:author="Z. Zukowski" w:date="2026-05-22T00:00:00Z">
        <w:r>
          <w:t xml:space="preserve"> </w:t>
        </w:r>
      </w:ins>
      <w:ins w:id="10050" w:author="Z. Zukowski" w:date="2026-05-22T00:00:00Z">
        <w:r>
          <w:t xml:space="preserve">Solana-native tokens resolve to exchange, custody, and retail addresses</w:t>
        </w:r>
      </w:ins>
      <w:ins w:id="10050" w:author="Z. Zukowski" w:date="2026-05-22T00:00:00Z">
        <w:r>
          <w:t xml:space="preserve"> </w:t>
        </w:r>
      </w:ins>
      <w:ins w:id="10050" w:author="Z. Zukowski" w:date="2026-05-22T00:00:00Z">
        <w:r>
          <w:t xml:space="preserve">rather than hidden insiders, so the conservative not-insider coding holds</w:t>
        </w:r>
      </w:ins>
      <w:ins w:id="10050" w:author="Z. Zukowski" w:date="2026-05-22T00:00:00Z">
        <w:r>
          <w:t xml:space="preserve"> </w:t>
        </w:r>
      </w:ins>
      <w:ins w:id="10050" w:author="Z. Zukowski" w:date="2026-05-22T00:00:00Z">
        <w:r>
          <w:t xml:space="preserve">without insider undercounting. The earlier acknowledged labeling gap</w:t>
        </w:r>
      </w:ins>
      <w:ins w:id="10050" w:author="Z. Zukowski" w:date="2026-05-22T00:00:00Z">
        <w:r>
          <w:t xml:space="preserve"> </w:t>
        </w:r>
      </w:ins>
      <w:ins w:id="10050" w:author="Z. Zukowski" w:date="2026-05-22T00:00:00Z">
        <w:r>
          <w:t xml:space="preserve">(io.net classifying as zero of ten insiders for want of Blockscout-style</w:t>
        </w:r>
      </w:ins>
      <w:ins w:id="10050" w:author="Z. Zukowski" w:date="2026-05-22T00:00:00Z">
        <w:r>
          <w:t xml:space="preserve"> </w:t>
        </w:r>
      </w:ins>
      <w:ins w:id="10050" w:author="Z. Zukowski" w:date="2026-05-22T00:00:00Z">
        <w:r>
          <w:t xml:space="preserve">contract labels at the scale available on Ethereum and EVM (Ethereum</w:t>
        </w:r>
      </w:ins>
      <w:ins w:id="10050" w:author="Z. Zukowski" w:date="2026-05-22T00:00:00Z">
        <w:r>
          <w:t xml:space="preserve"> </w:t>
        </w:r>
      </w:ins>
      <w:ins w:id="10050" w:author="Z. Zukowski" w:date="2026-05-22T00:00:00Z">
        <w:r>
          <w:t xml:space="preserve">Virtual Machine; the execution environment for Ethereum-compatible smart</w:t>
        </w:r>
      </w:ins>
      <w:ins w:id="10050" w:author="Z. Zukowski" w:date="2026-05-22T00:00:00Z">
        <w:r>
          <w:t xml:space="preserve"> </w:t>
        </w:r>
      </w:ins>
      <w:ins w:id="10050" w:author="Z. Zukowski" w:date="2026-05-22T00:00:00Z">
        <w:r>
          <w:t xml:space="preserve">contracts) Layer 2 networks) is therefore a coverage rather than a</w:t>
        </w:r>
      </w:ins>
      <w:ins w:id="10050" w:author="Z. Zukowski" w:date="2026-05-22T00:00:00Z">
        <w:r>
          <w:t xml:space="preserve"> </w:t>
        </w:r>
      </w:ins>
      <w:ins w:id="10050" w:author="Z. Zukowski" w:date="2026-05-22T00:00:00Z">
        <w:r>
          <w:t xml:space="preserve">substantive limitation; residual lower-attribution-coverage considerations</w:t>
        </w:r>
      </w:ins>
      <w:ins w:id="10050" w:author="Z. Zukowski" w:date="2026-05-22T00:00:00Z">
        <w:r>
          <w:t xml:space="preserve"> </w:t>
        </w:r>
      </w:ins>
      <w:ins w:id="10050"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51" w:author="Z. Zukowski" w:date="2026-05-22T00:00:00Z">
        <w:r>
          <w:t xml:space="preserve">3.8 Generalizable Protocol-Controlled-Address (PCA) Exclusion Methodology</w:t>
        </w:r>
      </w:ins>
    </w:p>
    <w:p>
      <w:pPr>
        <w:pStyle w:val="FirstParagraph"/>
      </w:pPr>
      <w:ins w:id="10052" w:author="Z. Zukowski" w:date="2026-05-22T00:00:00Z">
        <w:r>
          <w:t xml:space="preserve">Protocol-controlled-address (PCA) exclusion is best understood as</w:t>
        </w:r>
      </w:ins>
      <w:ins w:id="10052" w:author="Z. Zukowski" w:date="2026-05-22T00:00:00Z">
        <w:r>
          <w:t xml:space="preserve"> </w:t>
        </w:r>
      </w:ins>
      <w:ins w:id="10052" w:author="Z. Zukowski" w:date="2026-05-22T00:00:00Z">
        <w:r>
          <w:t xml:space="preserve">control attribution rather than data cleaning. Holder-list</w:t>
        </w:r>
      </w:ins>
      <w:ins w:id="10052" w:author="Z. Zukowski" w:date="2026-05-22T00:00:00Z">
        <w:r>
          <w:t xml:space="preserve"> </w:t>
        </w:r>
      </w:ins>
      <w:ins w:id="10052" w:author="Z. Zukowski" w:date="2026-05-22T00:00:00Z">
        <w:r>
          <w:t xml:space="preserve">concentration is uninformative until the unit of control is identified:</w:t>
        </w:r>
      </w:ins>
      <w:ins w:id="10052" w:author="Z. Zukowski" w:date="2026-05-22T00:00:00Z">
        <w:r>
          <w:t xml:space="preserve"> </w:t>
        </w:r>
      </w:ins>
      <w:ins w:id="10052" w:author="Z. Zukowski" w:date="2026-05-22T00:00:00Z">
        <w:r>
          <w:t xml:space="preserve">the same address list yields a different concentration reading</w:t>
        </w:r>
      </w:ins>
      <w:ins w:id="10052" w:author="Z. Zukowski" w:date="2026-05-22T00:00:00Z">
        <w:r>
          <w:t xml:space="preserve"> </w:t>
        </w:r>
      </w:ins>
      <w:ins w:id="10052" w:author="Z. Zukowski" w:date="2026-05-22T00:00:00Z">
        <w:r>
          <w:t xml:space="preserve">depending on which positions represent an independent governance</w:t>
        </w:r>
      </w:ins>
      <w:ins w:id="10052" w:author="Z. Zukowski" w:date="2026-05-22T00:00:00Z">
        <w:r>
          <w:t xml:space="preserve"> </w:t>
        </w:r>
      </w:ins>
      <w:ins w:id="10052" w:author="Z. Zukowski" w:date="2026-05-22T00:00:00Z">
        <w:r>
          <w:t xml:space="preserve">holder and which represent burn sinks, foundation custody, staking</w:t>
        </w:r>
      </w:ins>
      <w:ins w:id="10052" w:author="Z. Zukowski" w:date="2026-05-22T00:00:00Z">
        <w:r>
          <w:t xml:space="preserve"> </w:t>
        </w:r>
      </w:ins>
      <w:ins w:id="10052" w:author="Z. Zukowski" w:date="2026-05-22T00:00:00Z">
        <w:r>
          <w:t xml:space="preserve">aggregators, bridge accounting, or exchange deposits. Excluding</w:t>
        </w:r>
      </w:ins>
      <w:ins w:id="10052" w:author="Z. Zukowski" w:date="2026-05-22T00:00:00Z">
        <w:r>
          <w:t xml:space="preserve"> </w:t>
        </w:r>
      </w:ins>
      <w:ins w:id="10052" w:author="Z. Zukowski" w:date="2026-05-22T00:00:00Z">
        <w:r>
          <w:t xml:space="preserve">protocol-controlled addresses is the step that attributes the unit of</w:t>
        </w:r>
      </w:ins>
      <w:ins w:id="10052" w:author="Z. Zukowski" w:date="2026-05-22T00:00:00Z">
        <w:r>
          <w:t xml:space="preserve"> </w:t>
        </w:r>
      </w:ins>
      <w:ins w:id="10052" w:author="Z. Zukowski" w:date="2026-05-22T00:00:00Z">
        <w:r>
          <w:t xml:space="preserve">control; it is not a tidying pass applied to otherwise-meaningful</w:t>
        </w:r>
      </w:ins>
      <w:ins w:id="10052" w:author="Z. Zukowski" w:date="2026-05-22T00:00:00Z">
        <w:r>
          <w:t xml:space="preserve"> </w:t>
        </w:r>
      </w:ins>
      <w:ins w:id="10052" w:author="Z. Zukowski" w:date="2026-05-22T00:00:00Z">
        <w:r>
          <w:t xml:space="preserve">numbers. The PCA-exclusion methodology applied</w:t>
        </w:r>
      </w:ins>
      <w:ins w:id="10052" w:author="Z. Zukowski" w:date="2026-05-22T00:00:00Z">
        <w:r>
          <w:t xml:space="preserve"> </w:t>
        </w:r>
      </w:ins>
      <w:ins w:id="10052" w:author="Z. Zukowski" w:date="2026-05-22T00:00:00Z">
        <w:r>
          <w:t xml:space="preserve">across Sections 3.2 through 3.4 generalizes beyond this paper’s</w:t>
        </w:r>
      </w:ins>
      <w:ins w:id="10052" w:author="Z. Zukowski" w:date="2026-05-22T00:00:00Z">
        <w:r>
          <w:t xml:space="preserve"> </w:t>
        </w:r>
      </w:ins>
      <w:ins w:id="10052" w:author="Z. Zukowski" w:date="2026-05-22T00:00:00Z">
        <w:r>
          <w:t xml:space="preserve">specific protocol set. Any cross-protocol governance HHI analysis on</w:t>
        </w:r>
      </w:ins>
      <w:ins w:id="10052" w:author="Z. Zukowski" w:date="2026-05-22T00:00:00Z">
        <w:r>
          <w:t xml:space="preserve"> </w:t>
        </w:r>
      </w:ins>
      <w:ins w:id="10052" w:author="Z. Zukowski" w:date="2026-05-22T00:00:00Z">
        <w:r>
          <w:t xml:space="preserve">ERC-20 (the Ethereum standard for fungible tokens) or SPL (Solana</w:t>
        </w:r>
      </w:ins>
      <w:ins w:id="10052" w:author="Z. Zukowski" w:date="2026-05-22T00:00:00Z">
        <w:r>
          <w:t xml:space="preserve"> </w:t>
        </w:r>
      </w:ins>
      <w:ins w:id="10052" w:author="Z. Zukowski" w:date="2026-05-22T00:00:00Z">
        <w:r>
          <w:t xml:space="preserve">Program Library; Solana’s analog for fungible tokens) token holders</w:t>
        </w:r>
      </w:ins>
      <w:ins w:id="10052" w:author="Z. Zukowski" w:date="2026-05-22T00:00:00Z">
        <w:r>
          <w:t xml:space="preserve"> </w:t>
        </w:r>
      </w:ins>
      <w:ins w:id="10052" w:author="Z. Zukowski" w:date="2026-05-22T00:00:00Z">
        <w:r>
          <w:t xml:space="preserve">should apply the five PCA classes documented below before computing</w:t>
        </w:r>
      </w:ins>
      <w:ins w:id="10052" w:author="Z. Zukowski" w:date="2026-05-22T00:00:00Z">
        <w:r>
          <w:t xml:space="preserve"> </w:t>
        </w:r>
      </w:ins>
      <w:ins w:id="10052" w:author="Z. Zukowski" w:date="2026-05-22T00:00:00Z">
        <w:r>
          <w:t xml:space="preserve">concentration metrics, because the classes mark the addresses whose</w:t>
        </w:r>
      </w:ins>
      <w:ins w:id="10052" w:author="Z. Zukowski" w:date="2026-05-22T00:00:00Z">
        <w:r>
          <w:t xml:space="preserve"> </w:t>
        </w:r>
      </w:ins>
      <w:ins w:id="10052" w:author="Z. Zukowski" w:date="2026-05-22T00:00:00Z">
        <w:r>
          <w:t xml:space="preserve">holdings are not independent units of control. The</w:t>
        </w:r>
      </w:ins>
      <w:ins w:id="10052" w:author="Z. Zukowski" w:date="2026-05-22T00:00:00Z">
        <w:r>
          <w:t xml:space="preserve"> </w:t>
        </w:r>
      </w:ins>
      <w:ins w:id="10052" w:author="Z. Zukowski" w:date="2026-05-22T00:00:00Z">
        <w:r>
          <w:t xml:space="preserve">methodology contribution is not just the specific exclusions applied</w:t>
        </w:r>
      </w:ins>
      <w:ins w:id="10052" w:author="Z. Zukowski" w:date="2026-05-22T00:00:00Z">
        <w:r>
          <w:t xml:space="preserve"> </w:t>
        </w:r>
      </w:ins>
      <w:ins w:id="10052" w:author="Z. Zukowski" w:date="2026-05-22T00:00:00Z">
        <w:r>
          <w:t xml:space="preserve">to this paper’s 52-protocol sample, but the generalizable typology</w:t>
        </w:r>
      </w:ins>
      <w:ins w:id="10052" w:author="Z. Zukowski" w:date="2026-05-22T00:00:00Z">
        <w:r>
          <w:t xml:space="preserve"> </w:t>
        </w:r>
      </w:ins>
      <w:ins w:id="10052" w:author="Z. Zukowski" w:date="2026-05-22T00:00:00Z">
        <w:r>
          <w:t xml:space="preserve">that future replication and extension work can apply uniformly (the</w:t>
        </w:r>
      </w:ins>
      <w:ins w:id="10052" w:author="Z. Zukowski" w:date="2026-05-22T00:00:00Z">
        <w:r>
          <w:t xml:space="preserve"> </w:t>
        </w:r>
      </w:ins>
      <w:ins w:id="10052" w:author="Z. Zukowski" w:date="2026-05-22T00:00:00Z">
        <w:r>
          <w:t xml:space="preserve">exclusions log contains the address-by-address documentation). The</w:t>
        </w:r>
      </w:ins>
      <w:ins w:id="10052" w:author="Z. Zukowski" w:date="2026-05-22T00:00:00Z">
        <w:r>
          <w:t xml:space="preserve"> </w:t>
        </w:r>
      </w:ins>
      <w:ins w:id="10052" w:author="Z. Zukowski" w:date="2026-05-22T00:00:00Z">
        <w:r>
          <w:t xml:space="preserve">logic has a precedent in corporate-ownership analysis, which warns</w:t>
        </w:r>
      </w:ins>
      <w:ins w:id="10052" w:author="Z. Zukowski" w:date="2026-05-22T00:00:00Z">
        <w:r>
          <w:t xml:space="preserve"> </w:t>
        </w:r>
      </w:ins>
      <w:ins w:id="10052" w:author="Z. Zukowski" w:date="2026-05-22T00:00:00Z">
        <w:r>
          <w:t xml:space="preserve">against treating the registered holder as the effective unit of</w:t>
        </w:r>
      </w:ins>
      <w:ins w:id="10052" w:author="Z. Zukowski" w:date="2026-05-22T00:00:00Z">
        <w:r>
          <w:t xml:space="preserve"> </w:t>
        </w:r>
      </w:ins>
      <w:ins w:id="10052" w:author="Z. Zukowski" w:date="2026-05-22T00:00:00Z">
        <w:r>
          <w:t xml:space="preserve">control: ownership recorded at a single address may sit with</w:t>
        </w:r>
      </w:ins>
      <w:ins w:id="10052" w:author="Z. Zukowski" w:date="2026-05-22T00:00:00Z">
        <w:r>
          <w:t xml:space="preserve"> </w:t>
        </w:r>
      </w:ins>
      <w:ins w:id="10052" w:author="Z. Zukowski" w:date="2026-05-22T00:00:00Z">
        <w:r>
          <w:t xml:space="preserve">custodians, nominees, or aggregation vehicles rather than an</w:t>
        </w:r>
      </w:ins>
      <w:ins w:id="10052" w:author="Z. Zukowski" w:date="2026-05-22T00:00:00Z">
        <w:r>
          <w:t xml:space="preserve"> </w:t>
        </w:r>
      </w:ins>
      <w:ins w:id="10052" w:author="Z. Zukowski" w:date="2026-05-22T00:00:00Z">
        <w:r>
          <w:t xml:space="preserve">independent controller (La Porta, Lopez-de-Silanes, &amp; Shleifer, 1999).</w:t>
        </w:r>
      </w:ins>
      <w:ins w:id="10052" w:author="Z. Zukowski" w:date="2026-05-22T00:00:00Z">
        <w:r>
          <w:t xml:space="preserve"> </w:t>
        </w:r>
      </w:ins>
      <w:ins w:id="10052" w:author="Z. Zukowski" w:date="2026-05-22T00:00:00Z">
        <w:r>
          <w:t xml:space="preserve">PCA exclusion applies that control-identification logic to token holder</w:t>
        </w:r>
      </w:ins>
      <w:ins w:id="10052" w:author="Z. Zukowski" w:date="2026-05-22T00:00:00Z">
        <w:r>
          <w:t xml:space="preserve"> </w:t>
        </w:r>
      </w:ins>
      <w:ins w:id="10052" w:author="Z. Zukowski" w:date="2026-05-22T00:00:00Z">
        <w:r>
          <w:t xml:space="preserve">lists.</w:t>
        </w:r>
      </w:ins>
    </w:p>
    <w:p>
      <w:pPr>
        <w:pStyle w:val="BodyText"/>
      </w:pPr>
      <w:ins w:id="10053" w:author="Z. Zukowski" w:date="2026-05-22T00:00:00Z">
        <w:r>
          <w:rPr>
            <w:b/>
            <w:bCs/>
          </w:rPr>
          <w:t xml:space="preserve">Class 1: Burn-destination addresses.</w:t>
        </w:r>
      </w:ins>
      <w:ins w:id="10053" w:author="Z. Zukowski" w:date="2026-05-22T00:00:00Z">
        <w:r>
          <w:t xml:space="preserve"> </w:t>
        </w:r>
      </w:ins>
      <w:ins w:id="10053" w:author="Z. Zukowski" w:date="2026-05-22T00:00:00Z">
        <w:r>
          <w:t xml:space="preserve">Canonical burn addresses</w:t>
        </w:r>
      </w:ins>
      <w:ins w:id="10053" w:author="Z. Zukowski" w:date="2026-05-22T00:00:00Z">
        <w:r>
          <w:t xml:space="preserve"> </w:t>
        </w:r>
      </w:ins>
      <w:ins w:id="10053" w:author="Z. Zukowski" w:date="2026-05-22T00:00:00Z">
        <w:r>
          <w:t xml:space="preserve">(0x000…000 and 0x000…000dead on EVM chains; chain-specific</w:t>
        </w:r>
      </w:ins>
      <w:ins w:id="10053" w:author="Z. Zukowski" w:date="2026-05-22T00:00:00Z">
        <w:r>
          <w:t xml:space="preserve"> </w:t>
        </w:r>
      </w:ins>
      <w:ins w:id="10053" w:author="Z. Zukowski" w:date="2026-05-22T00:00:00Z">
        <w:r>
          <w:t xml:space="preserve">patterns; protocol-specific burn destinations confirmed via official</w:t>
        </w:r>
      </w:ins>
      <w:ins w:id="10053" w:author="Z. Zukowski" w:date="2026-05-22T00:00:00Z">
        <w:r>
          <w:t xml:space="preserve"> </w:t>
        </w:r>
      </w:ins>
      <w:ins w:id="10053" w:author="Z. Zukowski" w:date="2026-05-22T00:00:00Z">
        <w:r>
          <w:t xml:space="preserve">documentation, Blockscout/Etherscan labels, or Alchemy/Arkham labels)</w:t>
        </w:r>
      </w:ins>
      <w:ins w:id="10053" w:author="Z. Zukowski" w:date="2026-05-22T00:00:00Z">
        <w:r>
          <w:t xml:space="preserve"> </w:t>
        </w:r>
      </w:ins>
      <w:ins w:id="10053" w:author="Z. Zukowski" w:date="2026-05-22T00:00:00Z">
        <w:r>
          <w:t xml:space="preserve">should be excluded from governance HHI computation. These addresses</w:t>
        </w:r>
      </w:ins>
      <w:ins w:id="10053" w:author="Z. Zukowski" w:date="2026-05-22T00:00:00Z">
        <w:r>
          <w:t xml:space="preserve"> </w:t>
        </w:r>
      </w:ins>
      <w:ins w:id="10053" w:author="Z. Zukowski" w:date="2026-05-22T00:00:00Z">
        <w:r>
          <w:t xml:space="preserve">hold tokens that are inert by construction and cannot participate in</w:t>
        </w:r>
      </w:ins>
      <w:ins w:id="10053" w:author="Z. Zukowski" w:date="2026-05-22T00:00:00Z">
        <w:r>
          <w:t xml:space="preserve"> </w:t>
        </w:r>
      </w:ins>
      <w:ins w:id="10053" w:author="Z. Zukowski" w:date="2026-05-22T00:00:00Z">
        <w:r>
          <w:t xml:space="preserve">governance under any condition; including them in the holding</w:t>
        </w:r>
      </w:ins>
      <w:ins w:id="10053" w:author="Z. Zukowski" w:date="2026-05-22T00:00:00Z">
        <w:r>
          <w:t xml:space="preserve"> </w:t>
        </w:r>
      </w:ins>
      <w:ins w:id="10053" w:author="Z. Zukowski" w:date="2026-05-22T00:00:00Z">
        <w:r>
          <w:t xml:space="preserve">distribution inflates the holding denominator and understates effective</w:t>
        </w:r>
      </w:ins>
      <w:ins w:id="10053" w:author="Z. Zukowski" w:date="2026-05-22T00:00:00Z">
        <w:r>
          <w:t xml:space="preserve"> </w:t>
        </w:r>
      </w:ins>
      <w:ins w:id="10053" w:author="Z. Zukowski" w:date="2026-05-22T00:00:00Z">
        <w:r>
          <w:t xml:space="preserve">concentration. The Uniswap 0x000…000dead exclusion (102.46M UNI, 11.27</w:t>
        </w:r>
      </w:ins>
      <w:ins w:id="10053" w:author="Z. Zukowski" w:date="2026-05-22T00:00:00Z">
        <w:r>
          <w:t xml:space="preserve"> </w:t>
        </w:r>
      </w:ins>
      <w:ins w:id="10053" w:author="Z. Zukowski" w:date="2026-05-22T00:00:00Z">
        <w:r>
          <w:t xml:space="preserve">percent of supply at measurement) is the canonical case in this paper;</w:t>
        </w:r>
      </w:ins>
      <w:ins w:id="10053" w:author="Z. Zukowski" w:date="2026-05-22T00:00:00Z">
        <w:r>
          <w:t xml:space="preserve"> </w:t>
        </w:r>
      </w:ins>
      <w:ins w:id="10053" w:author="Z. Zukowski" w:date="2026-05-22T00:00:00Z">
        <w:r>
          <w:t xml:space="preserve">the Hyperliquid burn-pattern addresses (0x222…222 and 0xfefe…fefe)</w:t>
        </w:r>
      </w:ins>
      <w:ins w:id="10053" w:author="Z. Zukowski" w:date="2026-05-22T00:00:00Z">
        <w:r>
          <w:t xml:space="preserve"> </w:t>
        </w:r>
      </w:ins>
      <w:ins w:id="10053" w:author="Z. Zukowski" w:date="2026-05-22T00:00:00Z">
        <w:r>
          <w:t xml:space="preserve">were caught by a confirmed-pattern methodology. The universal</w:t>
        </w:r>
      </w:ins>
      <w:ins w:id="10053" w:author="Z. Zukowski" w:date="2026-05-22T00:00:00Z">
        <w:r>
          <w:t xml:space="preserve"> </w:t>
        </w:r>
      </w:ins>
      <w:ins w:id="10053" w:author="Z. Zukowski" w:date="2026-05-22T00:00:00Z">
        <w:r>
          <w:t xml:space="preserve">burn-rule applied here is generalizable to any ERC-20 or SPL token</w:t>
        </w:r>
      </w:ins>
      <w:ins w:id="10053" w:author="Z. Zukowski" w:date="2026-05-22T00:00:00Z">
        <w:r>
          <w:t xml:space="preserve"> </w:t>
        </w:r>
      </w:ins>
      <w:ins w:id="10053" w:author="Z. Zukowski" w:date="2026-05-22T00:00:00Z">
        <w:r>
          <w:t xml:space="preserve">governance analysis.</w:t>
        </w:r>
      </w:ins>
    </w:p>
    <w:p>
      <w:pPr>
        <w:pStyle w:val="BodyText"/>
      </w:pPr>
      <w:ins w:id="10054" w:author="Z. Zukowski" w:date="2026-05-22T00:00:00Z">
        <w:r>
          <w:rPr>
            <w:b/>
            <w:bCs/>
          </w:rPr>
          <w:t xml:space="preserve">Class 2: Foundation and treasury custody.</w:t>
        </w:r>
      </w:ins>
      <w:ins w:id="10054" w:author="Z. Zukowski" w:date="2026-05-22T00:00:00Z">
        <w:r>
          <w:t xml:space="preserve"> </w:t>
        </w:r>
      </w:ins>
      <w:ins w:id="10054" w:author="Z. Zukowski" w:date="2026-05-22T00:00:00Z">
        <w:r>
          <w:t xml:space="preserve">Protocol-controlled</w:t>
        </w:r>
      </w:ins>
      <w:ins w:id="10054" w:author="Z. Zukowski" w:date="2026-05-22T00:00:00Z">
        <w:r>
          <w:t xml:space="preserve"> </w:t>
        </w:r>
      </w:ins>
      <w:ins w:id="10054" w:author="Z. Zukowski" w:date="2026-05-22T00:00:00Z">
        <w:r>
          <w:t xml:space="preserve">foundation and treasury custody addresses should be excluded. These</w:t>
        </w:r>
      </w:ins>
      <w:ins w:id="10054" w:author="Z. Zukowski" w:date="2026-05-22T00:00:00Z">
        <w:r>
          <w:t xml:space="preserve"> </w:t>
        </w:r>
      </w:ins>
      <w:ins w:id="10054" w:author="Z. Zukowski" w:date="2026-05-22T00:00:00Z">
        <w:r>
          <w:t xml:space="preserve">addresses hold tokens that are governance-relevant in principle (the</w:t>
        </w:r>
      </w:ins>
      <w:ins w:id="10054" w:author="Z. Zukowski" w:date="2026-05-22T00:00:00Z">
        <w:r>
          <w:t xml:space="preserve"> </w:t>
        </w:r>
      </w:ins>
      <w:ins w:id="10054" w:author="Z. Zukowski" w:date="2026-05-22T00:00:00Z">
        <w:r>
          <w:t xml:space="preserve">foundation may delegate or vote with them) but are structurally</w:t>
        </w:r>
      </w:ins>
      <w:ins w:id="10054" w:author="Z. Zukowski" w:date="2026-05-22T00:00:00Z">
        <w:r>
          <w:t xml:space="preserve"> </w:t>
        </w:r>
      </w:ins>
      <w:ins w:id="10054" w:author="Z. Zukowski" w:date="2026-05-22T00:00:00Z">
        <w:r>
          <w:t xml:space="preserve">distinct from independent holder concentration: the foundation</w:t>
        </w:r>
      </w:ins>
      <w:ins w:id="10054" w:author="Z. Zukowski" w:date="2026-05-22T00:00:00Z">
        <w:r>
          <w:t xml:space="preserve"> </w:t>
        </w:r>
      </w:ins>
      <w:ins w:id="10054" w:author="Z. Zukowski" w:date="2026-05-22T00:00:00Z">
        <w:r>
          <w:t xml:space="preserve">position represents institutional rather than community ownership.</w:t>
        </w:r>
      </w:ins>
      <w:ins w:id="10054" w:author="Z. Zukowski" w:date="2026-05-22T00:00:00Z">
        <w:r>
          <w:t xml:space="preserve"> </w:t>
        </w:r>
      </w:ins>
      <w:ins w:id="10054" w:author="Z. Zukowski" w:date="2026-05-22T00:00:00Z">
        <w:r>
          <w:t xml:space="preserve">Specific cases in this paper: Optimism Foundation GnosisSafe</w:t>
        </w:r>
      </w:ins>
      <w:ins w:id="10054" w:author="Z. Zukowski" w:date="2026-05-22T00:00:00Z">
        <w:r>
          <w:t xml:space="preserve"> </w:t>
        </w:r>
      </w:ins>
      <w:ins w:id="10054" w:author="Z. Zukowski" w:date="2026-05-22T00:00:00Z">
        <w:r>
          <w:t xml:space="preserve">(0x2a82ae142…; 32 percent of pre-exclusion top-1,000 OP); Arbitrum</w:t>
        </w:r>
      </w:ins>
      <w:ins w:id="10054" w:author="Z. Zukowski" w:date="2026-05-22T00:00:00Z">
        <w:r>
          <w:t xml:space="preserve"> </w:t>
        </w:r>
      </w:ins>
      <w:ins w:id="10054" w:author="Z. Zukowski" w:date="2026-05-22T00:00:00Z">
        <w:r>
          <w:t xml:space="preserve">FixedDelegateErc20Wallet (0xf3fc178157…; 30 percent of pre-exclusion</w:t>
        </w:r>
      </w:ins>
      <w:ins w:id="10054" w:author="Z. Zukowski" w:date="2026-05-22T00:00:00Z">
        <w:r>
          <w:t xml:space="preserve"> </w:t>
        </w:r>
      </w:ins>
      <w:ins w:id="10054" w:author="Z. Zukowski" w:date="2026-05-22T00:00:00Z">
        <w:r>
          <w:t xml:space="preserve">top-1,000 ARB); WeatherXM treasury (74.8 percent of pre-exclusion</w:t>
        </w:r>
      </w:ins>
      <w:ins w:id="10054" w:author="Z. Zukowski" w:date="2026-05-22T00:00:00Z">
        <w:r>
          <w:t xml:space="preserve"> </w:t>
        </w:r>
      </w:ins>
      <w:ins w:id="10054" w:author="Z. Zukowski" w:date="2026-05-22T00:00:00Z">
        <w:r>
          <w:t xml:space="preserve">top-1,000 WXM); DIMO Foundation (52.3 percent of pre-exclusion top-1,000</w:t>
        </w:r>
      </w:ins>
      <w:ins w:id="10054" w:author="Z. Zukowski" w:date="2026-05-22T00:00:00Z">
        <w:r>
          <w:t xml:space="preserve"> </w:t>
        </w:r>
      </w:ins>
      <w:ins w:id="10054" w:author="Z. Zukowski" w:date="2026-05-22T00:00:00Z">
        <w:r>
          <w:t xml:space="preserve">DIMO). The methodology requires per-protocol identification typically</w:t>
        </w:r>
      </w:ins>
      <w:ins w:id="10054" w:author="Z. Zukowski" w:date="2026-05-22T00:00:00Z">
        <w:r>
          <w:t xml:space="preserve"> </w:t>
        </w:r>
      </w:ins>
      <w:ins w:id="10054" w:author="Z. Zukowski" w:date="2026-05-22T00:00:00Z">
        <w:r>
          <w:t xml:space="preserve">via Blockscout verified-contract labels, GnosisSafeProxyFactory creation</w:t>
        </w:r>
      </w:ins>
      <w:ins w:id="10054" w:author="Z. Zukowski" w:date="2026-05-22T00:00:00Z">
        <w:r>
          <w:t xml:space="preserve"> </w:t>
        </w:r>
      </w:ins>
      <w:ins w:id="10054" w:author="Z. Zukowski" w:date="2026-05-22T00:00:00Z">
        <w:r>
          <w:t xml:space="preserve">records, or foundation disclosures.</w:t>
        </w:r>
      </w:ins>
    </w:p>
    <w:p>
      <w:pPr>
        <w:pStyle w:val="BodyText"/>
      </w:pPr>
      <w:ins w:id="10055" w:author="Z. Zukowski" w:date="2026-05-22T00:00:00Z">
        <w:r>
          <w:rPr>
            <w:b/>
            <w:bCs/>
          </w:rPr>
          <w:t xml:space="preserve">Class 3: Staking-aggregation contracts.</w:t>
        </w:r>
      </w:ins>
      <w:ins w:id="10055" w:author="Z. Zukowski" w:date="2026-05-22T00:00:00Z">
        <w:r>
          <w:t xml:space="preserve"> </w:t>
        </w:r>
      </w:ins>
      <w:ins w:id="10055" w:author="Z. Zukowski" w:date="2026-05-22T00:00:00Z">
        <w:r>
          <w:t xml:space="preserve">Staking contracts that</w:t>
        </w:r>
      </w:ins>
      <w:ins w:id="10055" w:author="Z. Zukowski" w:date="2026-05-22T00:00:00Z">
        <w:r>
          <w:t xml:space="preserve"> </w:t>
        </w:r>
      </w:ins>
      <w:ins w:id="10055" w:author="Z. Zukowski" w:date="2026-05-22T00:00:00Z">
        <w:r>
          <w:t xml:space="preserve">aggregate underlying staker holdings into a single custody address</w:t>
        </w:r>
      </w:ins>
      <w:ins w:id="10055" w:author="Z. Zukowski" w:date="2026-05-22T00:00:00Z">
        <w:r>
          <w:t xml:space="preserve"> </w:t>
        </w:r>
      </w:ins>
      <w:ins w:id="10055" w:author="Z. Zukowski" w:date="2026-05-22T00:00:00Z">
        <w:r>
          <w:t xml:space="preserve">should be excluded from holding HHI computation, with the caveat that</w:t>
        </w:r>
      </w:ins>
      <w:ins w:id="10055" w:author="Z. Zukowski" w:date="2026-05-22T00:00:00Z">
        <w:r>
          <w:t xml:space="preserve"> </w:t>
        </w:r>
      </w:ins>
      <w:ins w:id="10055" w:author="Z. Zukowski" w:date="2026-05-22T00:00:00Z">
        <w:r>
          <w:t xml:space="preserve">underlying stakers retain pass-through voting power. The stkAAVE</w:t>
        </w:r>
      </w:ins>
      <w:ins w:id="10055" w:author="Z. Zukowski" w:date="2026-05-22T00:00:00Z">
        <w:r>
          <w:t xml:space="preserve"> </w:t>
        </w:r>
      </w:ins>
      <w:ins w:id="10055" w:author="Z. Zukowski" w:date="2026-05-22T00:00:00Z">
        <w:r>
          <w:t xml:space="preserve">staking contract (0x4da27a545c0c…; 21.9 percent of post-PCA-exclusion</w:t>
        </w:r>
      </w:ins>
      <w:ins w:id="10055" w:author="Z. Zukowski" w:date="2026-05-22T00:00:00Z">
        <w:r>
          <w:t xml:space="preserve"> </w:t>
        </w:r>
      </w:ins>
      <w:ins w:id="10055" w:author="Z. Zukowski" w:date="2026-05-22T00:00:00Z">
        <w:r>
          <w:t xml:space="preserve">top-1,000 AAVE) is the canonical case; AAVE stakers vote through</w:t>
        </w:r>
      </w:ins>
      <w:ins w:id="10055" w:author="Z. Zukowski" w:date="2026-05-22T00:00:00Z">
        <w:r>
          <w:t xml:space="preserve"> </w:t>
        </w:r>
      </w:ins>
      <w:ins w:id="10055" w:author="Z. Zukowski" w:date="2026-05-22T00:00:00Z">
        <w:r>
          <w:t xml:space="preserve">stkAAVE rather than the contract itself making governance decisions.</w:t>
        </w:r>
      </w:ins>
      <w:ins w:id="10055" w:author="Z. Zukowski" w:date="2026-05-22T00:00:00Z">
        <w:r>
          <w:t xml:space="preserve"> </w:t>
        </w:r>
      </w:ins>
      <w:ins w:id="10055" w:author="Z. Zukowski" w:date="2026-05-22T00:00:00Z">
        <w:r>
          <w:t xml:space="preserve">The sGMX RewardTracker plays an analogous role for GMX. The exclusion</w:t>
        </w:r>
      </w:ins>
      <w:ins w:id="10055" w:author="Z. Zukowski" w:date="2026-05-22T00:00:00Z">
        <w:r>
          <w:t xml:space="preserve"> </w:t>
        </w:r>
      </w:ins>
      <w:ins w:id="10055" w:author="Z. Zukowski" w:date="2026-05-22T00:00:00Z">
        <w:r>
          <w:t xml:space="preserve">is methodologically warranted at the holding-HHI computation step</w:t>
        </w:r>
      </w:ins>
      <w:ins w:id="10055" w:author="Z. Zukowski" w:date="2026-05-22T00:00:00Z">
        <w:r>
          <w:t xml:space="preserve"> </w:t>
        </w:r>
      </w:ins>
      <w:ins w:id="10055" w:author="Z. Zukowski" w:date="2026-05-22T00:00:00Z">
        <w:r>
          <w:t xml:space="preserve">because the contract is not an independent governance participant;</w:t>
        </w:r>
      </w:ins>
      <w:ins w:id="10055" w:author="Z. Zukowski" w:date="2026-05-22T00:00:00Z">
        <w:r>
          <w:t xml:space="preserve"> </w:t>
        </w:r>
      </w:ins>
      <w:ins w:id="10055" w:author="Z. Zukowski" w:date="2026-05-22T00:00:00Z">
        <w:r>
          <w:t xml:space="preserve">the exclusion at the voting-HHI computation step (Section 4.6</w:t>
        </w:r>
      </w:ins>
      <w:ins w:id="10055" w:author="Z. Zukowski" w:date="2026-05-22T00:00:00Z">
        <w:r>
          <w:t xml:space="preserve"> </w:t>
        </w:r>
      </w:ins>
      <w:ins w:id="10055" w:author="Z. Zukowski" w:date="2026-05-22T00:00:00Z">
        <w:r>
          <w:t xml:space="preserve">PCA-symmetric robustness check) is methodologically distinct: stkAAVE</w:t>
        </w:r>
      </w:ins>
      <w:ins w:id="10055" w:author="Z. Zukowski" w:date="2026-05-22T00:00:00Z">
        <w:r>
          <w:t xml:space="preserve"> </w:t>
        </w:r>
      </w:ins>
      <w:ins w:id="10055" w:author="Z. Zukowski" w:date="2026-05-22T00:00:00Z">
        <w:r>
          <w:t xml:space="preserve">votes as a single delegate per Tally’s data model, even though the</w:t>
        </w:r>
      </w:ins>
      <w:ins w:id="10055" w:author="Z. Zukowski" w:date="2026-05-22T00:00:00Z">
        <w:r>
          <w:t xml:space="preserve"> </w:t>
        </w:r>
      </w:ins>
      <w:ins w:id="10055" w:author="Z. Zukowski" w:date="2026-05-22T00:00:00Z">
        <w:r>
          <w:t xml:space="preserve">underlying voters are dispersed. The paper treats the holding-side</w:t>
        </w:r>
      </w:ins>
      <w:ins w:id="10055" w:author="Z. Zukowski" w:date="2026-05-22T00:00:00Z">
        <w:r>
          <w:t xml:space="preserve"> </w:t>
        </w:r>
      </w:ins>
      <w:ins w:id="10055" w:author="Z. Zukowski" w:date="2026-05-22T00:00:00Z">
        <w:r>
          <w:t xml:space="preserve">exclusion as canonical and reports the voting-side exclusion as a</w:t>
        </w:r>
      </w:ins>
      <w:ins w:id="10055" w:author="Z. Zukowski" w:date="2026-05-22T00:00:00Z">
        <w:r>
          <w:t xml:space="preserve"> </w:t>
        </w:r>
      </w:ins>
      <w:ins w:id="10055" w:author="Z. Zukowski" w:date="2026-05-22T00:00:00Z">
        <w:r>
          <w:t xml:space="preserve">sensitivity check.</w:t>
        </w:r>
      </w:ins>
    </w:p>
    <w:p>
      <w:pPr>
        <w:pStyle w:val="BodyText"/>
      </w:pPr>
      <w:ins w:id="10056" w:author="Z. Zukowski" w:date="2026-05-22T00:00:00Z">
        <w:r>
          <w:rPr>
            <w:b/>
            <w:bCs/>
          </w:rPr>
          <w:t xml:space="preserve">Class 4: Bridge custody and migration addresses.</w:t>
        </w:r>
      </w:ins>
      <w:ins w:id="10056" w:author="Z. Zukowski" w:date="2026-05-22T00:00:00Z">
        <w:r>
          <w:t xml:space="preserve"> </w:t>
        </w:r>
      </w:ins>
      <w:ins w:id="10056" w:author="Z. Zukowski" w:date="2026-05-22T00:00:00Z">
        <w:r>
          <w:t xml:space="preserve">Bridge custody</w:t>
        </w:r>
      </w:ins>
      <w:ins w:id="10056" w:author="Z. Zukowski" w:date="2026-05-22T00:00:00Z">
        <w:r>
          <w:t xml:space="preserve"> </w:t>
        </w:r>
      </w:ins>
      <w:ins w:id="10056" w:author="Z. Zukowski" w:date="2026-05-22T00:00:00Z">
        <w:r>
          <w:t xml:space="preserve">addresses (Wormhole token bridge for cross-chain wrapped tokens; the</w:t>
        </w:r>
      </w:ins>
      <w:ins w:id="10056" w:author="Z. Zukowski" w:date="2026-05-22T00:00:00Z">
        <w:r>
          <w:t xml:space="preserve"> </w:t>
        </w:r>
      </w:ins>
      <w:ins w:id="10056" w:author="Z. Zukowski" w:date="2026-05-22T00:00:00Z">
        <w:r>
          <w:t xml:space="preserve">GRT BridgeEscrow for L1-to-Arbitrum custody; LayerZero canonical</w:t>
        </w:r>
      </w:ins>
      <w:ins w:id="10056" w:author="Z. Zukowski" w:date="2026-05-22T00:00:00Z">
        <w:r>
          <w:t xml:space="preserve"> </w:t>
        </w:r>
      </w:ins>
      <w:ins w:id="10056" w:author="Z. Zukowski" w:date="2026-05-22T00:00:00Z">
        <w:r>
          <w:t xml:space="preserve">bridges) hold tokens in transit or as cross-chain accounting positions;</w:t>
        </w:r>
      </w:ins>
      <w:ins w:id="10056" w:author="Z. Zukowski" w:date="2026-05-22T00:00:00Z">
        <w:r>
          <w:t xml:space="preserve"> </w:t>
        </w:r>
      </w:ins>
      <w:ins w:id="10056" w:author="Z. Zukowski" w:date="2026-05-22T00:00:00Z">
        <w:r>
          <w:t xml:space="preserve">these are not governance-participating holders. Migration contracts</w:t>
        </w:r>
      </w:ins>
      <w:ins w:id="10056" w:author="Z. Zukowski" w:date="2026-05-22T00:00:00Z">
        <w:r>
          <w:t xml:space="preserve"> </w:t>
        </w:r>
      </w:ins>
      <w:ins w:id="10056" w:author="Z. Zukowski" w:date="2026-05-22T00:00:00Z">
        <w:r>
          <w:t xml:space="preserve">(the SYRUP Migrator for MPL-to-SYRUP migration; the Polygon</w:t>
        </w:r>
      </w:ins>
      <w:ins w:id="10056" w:author="Z. Zukowski" w:date="2026-05-22T00:00:00Z">
        <w:r>
          <w:t xml:space="preserve"> </w:t>
        </w:r>
      </w:ins>
      <w:ins w:id="10056" w:author="Z. Zukowski" w:date="2026-05-22T00:00:00Z">
        <w:r>
          <w:t xml:space="preserve">StakeManagerProxy for MATIC-to-POL transition) hold tokens during</w:t>
        </w:r>
      </w:ins>
      <w:ins w:id="10056" w:author="Z. Zukowski" w:date="2026-05-22T00:00:00Z">
        <w:r>
          <w:t xml:space="preserve"> </w:t>
        </w:r>
      </w:ins>
      <w:ins w:id="10056" w:author="Z. Zukowski" w:date="2026-05-22T00:00:00Z">
        <w:r>
          <w:t xml:space="preserve">migration windows and should be excluded.</w:t>
        </w:r>
      </w:ins>
    </w:p>
    <w:p>
      <w:pPr>
        <w:pStyle w:val="BodyText"/>
      </w:pPr>
      <w:ins w:id="10057" w:author="Z. Zukowski" w:date="2026-05-22T00:00:00Z">
        <w:r>
          <w:rPr>
            <w:b/>
            <w:bCs/>
          </w:rPr>
          <w:t xml:space="preserve">Class 5: Centralized exchange custody.</w:t>
        </w:r>
      </w:ins>
      <w:ins w:id="10057" w:author="Z. Zukowski" w:date="2026-05-22T00:00:00Z">
        <w:r>
          <w:t xml:space="preserve"> </w:t>
        </w:r>
      </w:ins>
      <w:ins w:id="10057" w:author="Z. Zukowski" w:date="2026-05-22T00:00:00Z">
        <w:r>
          <w:t xml:space="preserve">Centralized exchange (CEX)</w:t>
        </w:r>
      </w:ins>
      <w:ins w:id="10057" w:author="Z. Zukowski" w:date="2026-05-22T00:00:00Z">
        <w:r>
          <w:t xml:space="preserve"> </w:t>
        </w:r>
      </w:ins>
      <w:ins w:id="10057" w:author="Z. Zukowski" w:date="2026-05-22T00:00:00Z">
        <w:r>
          <w:t xml:space="preserve">hot and cold wallets that custody customer deposits should be</w:t>
        </w:r>
      </w:ins>
      <w:ins w:id="10057" w:author="Z. Zukowski" w:date="2026-05-22T00:00:00Z">
        <w:r>
          <w:t xml:space="preserve"> </w:t>
        </w:r>
      </w:ins>
      <w:ins w:id="10057" w:author="Z. Zukowski" w:date="2026-05-22T00:00:00Z">
        <w:r>
          <w:t xml:space="preserve">excluded from governance HHI computation. Customer-deposited tokens</w:t>
        </w:r>
      </w:ins>
      <w:ins w:id="10057" w:author="Z. Zukowski" w:date="2026-05-22T00:00:00Z">
        <w:r>
          <w:t xml:space="preserve"> </w:t>
        </w:r>
      </w:ins>
      <w:ins w:id="10057" w:author="Z. Zukowski" w:date="2026-05-22T00:00:00Z">
        <w:r>
          <w:t xml:space="preserve">held in CEX custody are not governance-participating holdings: the</w:t>
        </w:r>
      </w:ins>
      <w:ins w:id="10057" w:author="Z. Zukowski" w:date="2026-05-22T00:00:00Z">
        <w:r>
          <w:t xml:space="preserve"> </w:t>
        </w:r>
      </w:ins>
      <w:ins w:id="10057" w:author="Z. Zukowski" w:date="2026-05-22T00:00:00Z">
        <w:r>
          <w:t xml:space="preserve">exchange holds custody of tokens belonging to many individual</w:t>
        </w:r>
      </w:ins>
      <w:ins w:id="10057" w:author="Z. Zukowski" w:date="2026-05-22T00:00:00Z">
        <w:r>
          <w:t xml:space="preserve"> </w:t>
        </w:r>
      </w:ins>
      <w:ins w:id="10057" w:author="Z. Zukowski" w:date="2026-05-22T00:00:00Z">
        <w:r>
          <w:t xml:space="preserve">customers, and exchange operational practice is to abstain from</w:t>
        </w:r>
      </w:ins>
      <w:ins w:id="10057" w:author="Z. Zukowski" w:date="2026-05-22T00:00:00Z">
        <w:r>
          <w:t xml:space="preserve"> </w:t>
        </w:r>
      </w:ins>
      <w:ins w:id="10057" w:author="Z. Zukowski" w:date="2026-05-22T00:00:00Z">
        <w:r>
          <w:t xml:space="preserve">governance voting on customer-held tokens. Specific cases in this</w:t>
        </w:r>
      </w:ins>
      <w:ins w:id="10057" w:author="Z. Zukowski" w:date="2026-05-22T00:00:00Z">
        <w:r>
          <w:t xml:space="preserve"> </w:t>
        </w:r>
      </w:ins>
      <w:ins w:id="10057" w:author="Z. Zukowski" w:date="2026-05-22T00:00:00Z">
        <w:r>
          <w:t xml:space="preserve">paper: Binance hot wallets across OP, ENS, GRT, AAVE, COMP, UNI,</w:t>
        </w:r>
      </w:ins>
      <w:ins w:id="10057" w:author="Z. Zukowski" w:date="2026-05-22T00:00:00Z">
        <w:r>
          <w:t xml:space="preserve"> </w:t>
        </w:r>
      </w:ins>
      <w:ins w:id="10057" w:author="Z. Zukowski" w:date="2026-05-22T00:00:00Z">
        <w:r>
          <w:t xml:space="preserve">ARB, and other protocols (the canonical Binance address</w:t>
        </w:r>
      </w:ins>
      <w:ins w:id="10057" w:author="Z. Zukowski" w:date="2026-05-22T00:00:00Z">
        <w:r>
          <w:t xml:space="preserve"> </w:t>
        </w:r>
      </w:ins>
      <w:ins w:id="10057" w:author="Z. Zukowski" w:date="2026-05-22T00:00:00Z">
        <w:r>
          <w:t xml:space="preserve">0xf977…41acec is the most common case); Bithumb 162</w:t>
        </w:r>
      </w:ins>
      <w:ins w:id="10057" w:author="Z. Zukowski" w:date="2026-05-22T00:00:00Z">
        <w:r>
          <w:t xml:space="preserve"> </w:t>
        </w:r>
      </w:ins>
      <w:ins w:id="10057" w:author="Z. Zukowski" w:date="2026-05-22T00:00:00Z">
        <w:r>
          <w:t xml:space="preserve">(0x54d1…22cbf9) and Upbit 59 (0x377b…190873) on AXL; analogous</w:t>
        </w:r>
      </w:ins>
      <w:ins w:id="10057" w:author="Z. Zukowski" w:date="2026-05-22T00:00:00Z">
        <w:r>
          <w:t xml:space="preserve"> </w:t>
        </w:r>
      </w:ins>
      <w:ins w:id="10057" w:author="Z. Zukowski" w:date="2026-05-22T00:00:00Z">
        <w:r>
          <w:t xml:space="preserve">patterns on other protocols. CEX address identification relies on</w:t>
        </w:r>
      </w:ins>
      <w:ins w:id="10057" w:author="Z. Zukowski" w:date="2026-05-22T00:00:00Z">
        <w:r>
          <w:t xml:space="preserve"> </w:t>
        </w:r>
      </w:ins>
      <w:ins w:id="10057" w:author="Z. Zukowski" w:date="2026-05-22T00:00:00Z">
        <w:r>
          <w:t xml:space="preserve">public name tags (Etherscan, Arkham, hildobby compilations) and</w:t>
        </w:r>
      </w:ins>
      <w:ins w:id="10057" w:author="Z. Zukowski" w:date="2026-05-22T00:00:00Z">
        <w:r>
          <w:t xml:space="preserve"> </w:t>
        </w:r>
      </w:ins>
      <w:ins w:id="10057" w:author="Z. Zukowski" w:date="2026-05-22T00:00:00Z">
        <w:r>
          <w:t xml:space="preserve">behavioral signals (high transfer volume, many counterparties, no</w:t>
        </w:r>
      </w:ins>
      <w:ins w:id="10057" w:author="Z. Zukowski" w:date="2026-05-22T00:00:00Z">
        <w:r>
          <w:t xml:space="preserve"> </w:t>
        </w:r>
      </w:ins>
      <w:ins w:id="10057" w:author="Z. Zukowski" w:date="2026-05-22T00:00:00Z">
        <w:r>
          <w:t xml:space="preserve">governance participation history).</w:t>
        </w:r>
      </w:ins>
    </w:p>
    <w:p>
      <w:pPr>
        <w:pStyle w:val="BodyText"/>
      </w:pPr>
      <w:ins w:id="10058" w:author="Z. Zukowski" w:date="2026-05-22T00:00:00Z">
        <w:r>
          <w:rPr>
            <w:b/>
            <w:bCs/>
          </w:rPr>
          <w:t xml:space="preserve">Class 3 versus Class 5 disambiguation via transaction-pattern signatures.</w:t>
        </w:r>
      </w:ins>
      <w:ins w:id="10058" w:author="Z. Zukowski" w:date="2026-05-22T00:00:00Z">
        <w:r>
          <w:t xml:space="preserve"> </w:t>
        </w:r>
      </w:ins>
      <w:ins w:id="10058"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58" w:author="Z. Zukowski" w:date="2026-05-22T00:00:00Z">
        <w:r>
          <w:t xml:space="preserve"> </w:t>
        </w:r>
      </w:ins>
      <w:ins w:id="10058" w:author="Z. Zukowski" w:date="2026-05-22T00:00:00Z">
        <w:r>
          <w:rPr>
            <w:i/>
            <w:iCs/>
          </w:rPr>
          <w:t xml:space="preserve">deposit-collection signature</w:t>
        </w:r>
      </w:ins>
      <w:ins w:id="10058"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58" w:author="Z. Zukowski" w:date="2026-05-22T00:00:00Z">
        <w:r>
          <w:t xml:space="preserve"> </w:t>
        </w:r>
      </w:ins>
      <w:ins w:id="10058" w:author="Z. Zukowski" w:date="2026-05-22T00:00:00Z">
        <w:r>
          <w:rPr>
            <w:i/>
            <w:iCs/>
          </w:rPr>
          <w:t xml:space="preserve">batch-payout signature</w:t>
        </w:r>
      </w:ins>
      <w:ins w:id="10058" w:author="Z. Zukowski" w:date="2026-05-22T00:00:00Z">
        <w:r>
          <w:t xml:space="preserve"> </w:t>
        </w:r>
      </w:ins>
      <w:ins w:id="10058"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ins>
    </w:p>
    <w:p>
      <w:pPr>
        <w:pStyle w:val="BodyText"/>
      </w:pPr>
      <w:ins w:id="10059" w:author="Z. Zukowski" w:date="2026-05-22T00:00:00Z">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ins>
    </w:p>
    <w:p>
      <w:pPr>
        <w:pStyle w:val="BodyText"/>
      </w:pPr>
      <w:ins w:id="10060" w:author="Z. Zukowski" w:date="2026-05-22T00:00:00Z">
        <w:r>
          <w:t xml:space="preserve">The Polkadot fifth-protocol extension established the canonical worked examples (</w:t>
        </w:r>
      </w:ins>
      <w:hyperlink r:id="rId42">
        <w:ins w:id="10060" w:author="Z. Zukowski" w:date="2026-05-22T00:00:00Z">
          <w:r>
            <w:rPr>
              <w:rStyle w:val="Hyperlink"/>
            </w:rPr>
            <w:t xml:space="preserve">Supplementary File S21</w:t>
          </w:r>
        </w:ins>
      </w:hyperlink>
      <w:ins w:id="10060" w:author="Z. Zukowski" w:date="2026-05-22T00:00:00Z">
        <w:r>
          <w:t xml:space="preserve">): rank-2</w:t>
        </w:r>
      </w:ins>
      <w:ins w:id="10060" w:author="Z. Zukowski" w:date="2026-05-22T00:00:00Z">
        <w:r>
          <w:t xml:space="preserve"> </w:t>
        </w:r>
      </w:ins>
      <w:ins w:id="10060" w:author="Z. Zukowski" w:date="2026-05-22T00:00:00Z">
        <w:r>
          <w:rPr>
            <w:rStyle w:val="VerbatimChar"/>
          </w:rPr>
          <w:t xml:space="preserve">13Z7KjGn...</w:t>
        </w:r>
      </w:ins>
      <w:ins w:id="10060" w:author="Z. Zukowski" w:date="2026-05-22T00:00:00Z">
        <w:r>
          <w:t xml:space="preserve"> </w:t>
        </w:r>
      </w:ins>
      <w:ins w:id="10060" w:author="Z. Zukowski" w:date="2026-05-22T00:00:00Z">
        <w:r>
          <w:t xml:space="preserve">plus rank-5</w:t>
        </w:r>
      </w:ins>
      <w:ins w:id="10060" w:author="Z. Zukowski" w:date="2026-05-22T00:00:00Z">
        <w:r>
          <w:t xml:space="preserve"> </w:t>
        </w:r>
      </w:ins>
      <w:ins w:id="10060" w:author="Z. Zukowski" w:date="2026-05-22T00:00:00Z">
        <w:r>
          <w:rPr>
            <w:rStyle w:val="VerbatimChar"/>
          </w:rPr>
          <w:t xml:space="preserve">12ouvKS...</w:t>
        </w:r>
      </w:ins>
      <w:ins w:id="10060" w:author="Z. Zukowski" w:date="2026-05-22T00:00:00Z">
        <w:r>
          <w:t xml:space="preserve"> </w:t>
        </w:r>
      </w:ins>
      <w:ins w:id="10060" w:author="Z. Zukowski" w:date="2026-05-22T00:00:00Z">
        <w:r>
          <w:t xml:space="preserve">on AssetHub Polkadot classified as LIKELY-CEX via deposit-collection signature (Scenario C-narrow post-PCA-exclusion HHI = 0.0043); ranks 10/11/12 (</w:t>
        </w:r>
      </w:ins>
      <w:ins w:id="10060" w:author="Z. Zukowski" w:date="2026-05-22T00:00:00Z">
        <w:r>
          <w:rPr>
            <w:rStyle w:val="VerbatimChar"/>
          </w:rPr>
          <w:t xml:space="preserve">163egH5d-...</w:t>
        </w:r>
      </w:ins>
      <w:ins w:id="10060" w:author="Z. Zukowski" w:date="2026-05-22T00:00:00Z">
        <w:r>
          <w:t xml:space="preserve"> </w:t>
        </w:r>
      </w:ins>
      <w:ins w:id="10060"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61" w:author="Z. Zukowski" w:date="2026-05-22T00:00:00Z">
        <w:r>
          <w:t xml:space="preserve">Across the five classes, this paper applies 133 PCA exclusions across 38 protocols (the supplementary exclusions log dataset). The five classes are unevenly populated within the cross-section:</w:t>
        </w:r>
      </w:ins>
      <w:ins w:id="10061" w:author="Z. Zukowski" w:date="2026-05-22T00:00:00Z">
        <w:r>
          <w:t xml:space="preserve"> </w:t>
        </w:r>
      </w:ins>
      <w:ins w:id="10061" w:author="Z. Zukowski" w:date="2026-05-22T00:00:00Z">
        <w:r>
          <w:t xml:space="preserve">on the N = 30 DePIN-vs-DeFi sector contrast (125 of the 133 exclusions, across 36 protocols),</w:t>
        </w:r>
      </w:ins>
      <w:ins w:id="10061" w:author="Z. Zukowski" w:date="2026-05-22T00:00:00Z">
        <w:r>
          <w:t xml:space="preserve"> </w:t>
        </w:r>
      </w:ins>
      <w:ins w:id="10061" w:author="Z. Zukowski" w:date="2026-05-22T00:00:00Z">
        <w:r>
          <w:t xml:space="preserve">Class 2 (foundation and treasury custody) accounts for 76 of the 125 exclusions</w:t>
        </w:r>
      </w:ins>
      <w:ins w:id="10061" w:author="Z. Zukowski" w:date="2026-05-22T00:00:00Z">
        <w:r>
          <w:t xml:space="preserve"> </w:t>
        </w:r>
      </w:ins>
      <w:ins w:id="10061" w:author="Z. Zukowski" w:date="2026-05-22T00:00:00Z">
        <w:r>
          <w:t xml:space="preserve">(61 percent), Class 5 (CEX custody) for 19 (15 percent), Class 3 (staking-aggregation</w:t>
        </w:r>
      </w:ins>
      <w:ins w:id="10061" w:author="Z. Zukowski" w:date="2026-05-22T00:00:00Z">
        <w:r>
          <w:t xml:space="preserve"> </w:t>
        </w:r>
      </w:ins>
      <w:ins w:id="10061" w:author="Z. Zukowski" w:date="2026-05-22T00:00:00Z">
        <w:r>
          <w:t xml:space="preserve">contracts) for 12 (10 percent), Class 1 (burn destinations) for 10 (8 percent), and</w:t>
        </w:r>
      </w:ins>
      <w:ins w:id="10061" w:author="Z. Zukowski" w:date="2026-05-22T00:00:00Z">
        <w:r>
          <w:t xml:space="preserve"> </w:t>
        </w:r>
      </w:ins>
      <w:ins w:id="10061" w:author="Z. Zukowski" w:date="2026-05-22T00:00:00Z">
        <w:r>
          <w:t xml:space="preserve">Class 4 (bridge custody and migration) for 8 (6 percent). The Class 2 dominance has</w:t>
        </w:r>
      </w:ins>
      <w:ins w:id="10061" w:author="Z. Zukowski" w:date="2026-05-22T00:00:00Z">
        <w:r>
          <w:t xml:space="preserve"> </w:t>
        </w:r>
      </w:ins>
      <w:ins w:id="10061" w:author="Z. Zukowski" w:date="2026-05-22T00:00:00Z">
        <w:r>
          <w:t xml:space="preserve">a practical implication for replication: future researchers operationalizing this</w:t>
        </w:r>
      </w:ins>
      <w:ins w:id="10061" w:author="Z. Zukowski" w:date="2026-05-22T00:00:00Z">
        <w:r>
          <w:t xml:space="preserve"> </w:t>
        </w:r>
      </w:ins>
      <w:ins w:id="10061" w:author="Z. Zukowski" w:date="2026-05-22T00:00:00Z">
        <w:r>
          <w:t xml:space="preserve">methodology can prioritize Class 2 identification (label-based foundation-multisig</w:t>
        </w:r>
      </w:ins>
      <w:ins w:id="10061" w:author="Z. Zukowski" w:date="2026-05-22T00:00:00Z">
        <w:r>
          <w:t xml:space="preserve"> </w:t>
        </w:r>
      </w:ins>
      <w:ins w:id="10061" w:author="Z. Zukowski" w:date="2026-05-22T00:00:00Z">
        <w:r>
          <w:t xml:space="preserve">detection plus on-chain treasury-contract bytecode matching) as the highest-yield</w:t>
        </w:r>
      </w:ins>
      <w:ins w:id="10061" w:author="Z. Zukowski" w:date="2026-05-22T00:00:00Z">
        <w:r>
          <w:t xml:space="preserve"> </w:t>
        </w:r>
      </w:ins>
      <w:ins w:id="10061" w:author="Z. Zukowski" w:date="2026-05-22T00:00:00Z">
        <w:r>
          <w:t xml:space="preserve">exclusion class, with the remaining four classes contributing the residual 39 percent.</w:t>
        </w:r>
      </w:ins>
      <w:ins w:id="10061" w:author="Z. Zukowski" w:date="2026-05-22T00:00:00Z">
        <w:r>
          <w:t xml:space="preserve"> </w:t>
        </w:r>
      </w:ins>
      <w:ins w:id="10061" w:author="Z. Zukowski" w:date="2026-05-22T00:00:00Z">
        <w:r>
          <w:t xml:space="preserve">The generalizable methodological contribution is the control-attribution step itself,</w:t>
        </w:r>
      </w:ins>
      <w:ins w:id="10061" w:author="Z. Zukowski" w:date="2026-05-22T00:00:00Z">
        <w:r>
          <w:t xml:space="preserve"> </w:t>
        </w:r>
      </w:ins>
      <w:ins w:id="10061" w:author="Z. Zukowski" w:date="2026-05-22T00:00:00Z">
        <w:r>
          <w:t xml:space="preserve">not a data-cleaning convenience: any future cross-protocol governance</w:t>
        </w:r>
      </w:ins>
      <w:ins w:id="10061" w:author="Z. Zukowski" w:date="2026-05-22T00:00:00Z">
        <w:r>
          <w:t xml:space="preserve"> </w:t>
        </w:r>
      </w:ins>
      <w:ins w:id="10061" w:author="Z. Zukowski" w:date="2026-05-22T00:00:00Z">
        <w:r>
          <w:t xml:space="preserve">HHI analysis should apply the five-class PCA exclusion uniformly before reporting</w:t>
        </w:r>
      </w:ins>
      <w:ins w:id="10061" w:author="Z. Zukowski" w:date="2026-05-22T00:00:00Z">
        <w:r>
          <w:t xml:space="preserve"> </w:t>
        </w:r>
      </w:ins>
      <w:ins w:id="10061" w:author="Z. Zukowski" w:date="2026-05-22T00:00:00Z">
        <w:r>
          <w:t xml:space="preserve">holding concentration metrics, because until protocol-controlled addresses are</w:t>
        </w:r>
      </w:ins>
      <w:ins w:id="10061" w:author="Z. Zukowski" w:date="2026-05-22T00:00:00Z">
        <w:r>
          <w:t xml:space="preserve"> </w:t>
        </w:r>
      </w:ins>
      <w:ins w:id="10061" w:author="Z. Zukowski" w:date="2026-05-22T00:00:00Z">
        <w:r>
          <w:t xml:space="preserve">removed the holder list has not yet identified its unit of control and the resulting</w:t>
        </w:r>
      </w:ins>
      <w:ins w:id="10061" w:author="Z. Zukowski" w:date="2026-05-22T00:00:00Z">
        <w:r>
          <w:t xml:space="preserve"> </w:t>
        </w:r>
      </w:ins>
      <w:ins w:id="10061" w:author="Z. Zukowski" w:date="2026-05-22T00:00:00Z">
        <w:r>
          <w:t xml:space="preserve">concentration figure measures custody arrangements rather than governance holding.</w:t>
        </w:r>
      </w:ins>
      <w:ins w:id="10061" w:author="Z. Zukowski" w:date="2026-05-22T00:00:00Z">
        <w:r>
          <w:t xml:space="preserve"> </w:t>
        </w:r>
      </w:ins>
      <w:ins w:id="10061" w:author="Z. Zukowski" w:date="2026-05-22T00:00:00Z">
        <w:r>
          <w:t xml:space="preserve">The specific addresses depend on the protocol sample; the methodology is sample-independent, which makes it the stable foundation for the multi-surface extensions specified in Section 5.8.</w:t>
        </w:r>
      </w:ins>
    </w:p>
    <w:bookmarkEnd w:id="43"/>
    <w:bookmarkStart w:id="45" w:name="data-and-code-availability"/>
    <w:p>
      <w:pPr>
        <w:pStyle w:val="Heading2"/>
      </w:pPr>
      <w:r>
        <w:t xml:space="preserve">3.9 Data and Code Availability</w:t>
      </w:r>
    </w:p>
    <w:p>
      <w:pPr>
        <w:pStyle w:val="FirstParagraph"/>
      </w:pPr>
      <w:ins w:id="10062" w:author="Z. Zukowski" w:date="2026-05-22T00:00:00Z">
        <w:r>
          <w:t xml:space="preserve">All data and code required to reproduce the analysis are available in the public replication repository at</w:t>
        </w:r>
      </w:ins>
      <w:ins w:id="10062" w:author="Z. Zukowski" w:date="2026-05-22T00:00:00Z">
        <w:r>
          <w:t xml:space="preserve"> </w:t>
        </w:r>
      </w:ins>
      <w:hyperlink r:id="rId44">
        <w:ins w:id="10062" w:author="Z. Zukowski" w:date="2026-05-22T00:00:00Z">
          <w:r>
            <w:rPr>
              <w:rStyle w:val="Hyperlink"/>
            </w:rPr>
            <w:t xml:space="preserve">https://github.com/Research-Publications-and-Data/Tokenomics-As-Institutional_Design</w:t>
          </w:r>
        </w:ins>
      </w:hyperlink>
      <w:ins w:id="10062" w:author="Z. Zukowski" w:date="2026-05-22T00:00:00Z">
        <w:r>
          <w:t xml:space="preserve">: the address-by-address protocol-controlled-address exclusion log, the regression dataset, the per-protocol holder distributions, and the per-table and per-figure replication scripts. The statistics ledger (Supplementary File S0) lists every body-text statistic with its sample size and reporting convention, reconciling the body, tables, figures, abstract, and conclusion to that single dataset. The full reproducibility procedure, including the per-table and per-figure regeneration commands, is detailed in Section 5.9.</w:t>
        </w:r>
      </w:ins>
    </w:p>
    <w:bookmarkEnd w:id="45"/>
    <w:bookmarkEnd w:id="46"/>
    <w:bookmarkStart w:id="97" w:name="results"/>
    <w:p>
      <w:pPr>
        <w:pStyle w:val="Heading1"/>
      </w:pPr>
      <w:r>
        <w:t xml:space="preserve">4 Results</w:t>
      </w:r>
    </w:p>
    <w:bookmarkStart w:id="47"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holding data represent a March 2026 snapshot; the voting data are pooled over a 12-month rolling window (Section 3.3), and the cross-section is not itself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Holding-concentration metrics are point-in-time snapshots and</w:t>
      </w:r>
      <w:r>
        <w:t xml:space="preserve"> </w:t>
      </w:r>
      <w:r>
        <w:t xml:space="preserve">voting-concentration metrics are 12-month-window pooled values; the</w:t>
      </w:r>
      <w:r>
        <w:t xml:space="preserve"> </w:t>
      </w:r>
      <w:r>
        <w:t xml:space="preserve">full-history and per-period robustness checks (Table 6b; Section 4.5.4.2)</w:t>
      </w:r>
      <w:r>
        <w:t xml:space="preserve"> </w:t>
      </w:r>
      <w:r>
        <w:t xml:space="preserve">confirm these are stable rather than single-date artifacts, while a full</w:t>
      </w:r>
      <w:r>
        <w:t xml:space="preserve"> </w:t>
      </w:r>
      <w:r>
        <w:t xml:space="preserve">panel across all 52 protocols remains the longitudinal extension</w:t>
      </w:r>
      <w:r>
        <w:t xml:space="preserve"> </w:t>
      </w:r>
      <w:r>
        <w:t xml:space="preserve">specified in the 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63" w:author="Z. Zukowski" w:date="2026-05-22T00:00:00Z">
        <w:r>
          <w:t xml:space="preserve">PCA exclusion corrects systematic HHI inflation Methodological Section 3.8</w:t>
        </w:r>
      </w:ins>
    </w:p>
    <w:p>
      <w:pPr>
        <w:pStyle w:val="BodyText"/>
      </w:pPr>
      <w:ins w:id="10064"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65" w:author="Z. Zukowski" w:date="2026-05-22T00:00:00Z">
        <w:r>
          <w:t xml:space="preserve">Delegation often amplifies voting above holdings Descriptive Section 4.5; Table 6</w:t>
        </w:r>
      </w:ins>
    </w:p>
    <w:p>
      <w:pPr>
        <w:pStyle w:val="BodyText"/>
      </w:pPr>
      <w:ins w:id="10066" w:author="Z. Zukowski" w:date="2026-05-22T00:00:00Z">
        <w:r>
          <w:t xml:space="preserve">Subsidy association is Livepeer-driven only Descriptive (null) Section 4.6; S8</w:t>
        </w:r>
      </w:ins>
      <w:ins w:id="10066" w:author="Z. Zukowski" w:date="2026-05-22T00:00:00Z">
        <w:r>
          <w:t xml:space="preserve"> </w:t>
        </w:r>
      </w:ins>
      <w:ins w:id="10066"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7"/>
    <w:bookmarkStart w:id="52"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9" name="Picture"/>
            <a:graphic>
              <a:graphicData uri="http://schemas.openxmlformats.org/drawingml/2006/picture">
                <pic:pic>
                  <pic:nvPicPr>
                    <pic:cNvPr descr="media/fig3_hhi_bar_40protocols.png" id="50" name="Picture"/>
                    <pic:cNvPicPr>
                      <a:picLocks noChangeArrowheads="1" noChangeAspect="1"/>
                    </pic:cNvPicPr>
                  </pic:nvPicPr>
                  <pic:blipFill>
                    <a:blip r:embed="rId48"/>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67" w:author="Z. Zukowski" w:date="2026-05-22T00:00:00Z">
        <w:r>
          <w:rPr>
            <w:b/>
            <w:bCs/>
            <w:i/>
            <w:iCs/>
          </w:rPr>
          <w:t xml:space="preserve">Figure 1.</w:t>
        </w:r>
      </w:ins>
      <w:ins w:id="10067" w:author="Z. Zukowski" w:date="2026-05-22T00:00:00Z">
        <w:r>
          <w:rPr>
            <w:i/>
            <w:iCs/>
          </w:rPr>
          <w:t xml:space="preserve"> </w:t>
        </w:r>
      </w:ins>
      <w:ins w:id="10067"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voter-inclusive staking pass-through treatment developed in Section 4.6.2 (a medium effect, Cohen’s d = 0.65, significant on the rank-based Mann-Whitney test with marginal mean-based significance), reported alongside a uniform staking-aggregation exclusion as a robustness check (Cohen’s d = 0.75, significant on every test). These staking treatments shift individual protocols (most notably Livepeer, 0.199 here versus 0.033 under the uniform exclusion) but preserve the sector-level pattern of DePIN holding HHI above DeFi.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on the post-exclusion top-1,000-holder sample per protocol (PCA exclusion methodology, Section 3.8), drawn from Dune Analytics multi-chain queries and the Helius DAS API for Solana SPL tokens (March 2026 snapshot). The exclusion removes 133 protocol-controlled addresses across 38 protocols (staking contracts, exchange custodians, vesting locks, protocol treasuries; see the</w:t>
      </w:r>
      <w:r>
        <w:t xml:space="preserve"> </w:t>
      </w:r>
      <w:hyperlink r:id="rId51">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p>
      <w:pPr>
        <w:pStyle w:val="BodyText"/>
      </w:pPr>
      <w:ins w:id="10068" w:author="Z. Zukowski" w:date="2026-05-22T00:00:00Z">
        <w:r>
          <w:rPr>
            <w:b/>
            <w:bCs/>
          </w:rPr>
          <w:t xml:space="preserve">Reading Table 3.</w:t>
        </w:r>
      </w:ins>
      <w:ins w:id="10068" w:author="Z. Zukowski" w:date="2026-05-22T00:00:00Z">
        <w:r>
          <w:t xml:space="preserve"> </w:t>
        </w:r>
      </w:ins>
      <w:ins w:id="10068" w:author="Z. Zukowski" w:date="2026-05-22T00:00:00Z">
        <w:r>
          <w:t xml:space="preserve">Top-1% and Top-10% columns report literal cumulative shares: Top-1% is the supply share of the single largest holder; Top-10% is the cumulative share of the top 10 holders, both computed as percentages of the post-exclusion top-1,000-holder sample total. The Top-5% column (in the canonical CSV; not displayed in this table) reports the top 5 holders cumulative share under the same convention. For protocols with fewer than 1,000 unique non-zero holders after exclusion, the same literal-top-N convention applies to the actual N. For protocols with more than 1,000 unique non-zero holders post-exclusion, the top-1,000 holders are sampled and the literal top-1 and top-10 shares within that top-1,000 sample are reported.</w:t>
        </w:r>
      </w:ins>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69" w:author="Z. Zukowski" w:date="2026-05-22T00:00:00Z">
        <w:r>
          <w:rPr>
            <w:b/>
            <w:bCs/>
            <w:i/>
            <w:iCs/>
          </w:rPr>
          <w:t xml:space="preserve">Table 3.</w:t>
        </w:r>
      </w:ins>
      <w:ins w:id="10069" w:author="Z. Zukowski" w:date="2026-05-22T00:00:00Z">
        <w:r>
          <w:rPr>
            <w:i/>
            <w:iCs/>
          </w:rPr>
          <w:t xml:space="preserve"> </w:t>
        </w:r>
      </w:ins>
      <w:ins w:id="10069"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voter-inclusive staking pass-through treatment of Section 4.6.2, Cohen’s d = 0.65, with the uniform staking-aggregation exclusion as a robustness check, Cohen’s d = 0.75; these staking treatments shift some protocols, most visibly Livepeer at 0.199 of-record versus 0.033 under the uniform exclusion, but preserve the sector-level pattern of DePIN holding HHI above DeFi).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70" w:author="Z. Zukowski" w:date="2026-05-22T00:00:00Z">
        <w:r>
          <w:t xml:space="preserve">Methodology notes: HHI for Curve reflects raw CRV holdings;</w:t>
        </w:r>
      </w:ins>
      <w:ins w:id="10070" w:author="Z. Zukowski" w:date="2026-05-22T00:00:00Z">
        <w:r>
          <w:t xml:space="preserve"> </w:t>
        </w:r>
      </w:ins>
      <w:ins w:id="10070" w:author="Z. Zukowski" w:date="2026-05-22T00:00:00Z">
        <w:r>
          <w:t xml:space="preserve">veCRV-weighted voting concentration is approximately 0.26 computed</w:t>
        </w:r>
      </w:ins>
      <w:ins w:id="10070" w:author="Z. Zukowski" w:date="2026-05-22T00:00:00Z">
        <w:r>
          <w:t xml:space="preserve"> </w:t>
        </w:r>
      </w:ins>
      <w:ins w:id="10070" w:author="Z. Zukowski" w:date="2026-05-22T00:00:00Z">
        <w:r>
          <w:t xml:space="preserve">from cumulative CRV deposit volume across the top-50 historical</w:t>
        </w:r>
      </w:ins>
      <w:ins w:id="10070" w:author="Z. Zukowski" w:date="2026-05-22T00:00:00Z">
        <w:r>
          <w:t xml:space="preserve"> </w:t>
        </w:r>
      </w:ins>
      <w:ins w:id="10070" w:author="Z. Zukowski" w:date="2026-05-22T00:00:00Z">
        <w:r>
          <w:t xml:space="preserve">veCRV lockers (Convex Finance, an aggregator that pools user-deposited</w:t>
        </w:r>
      </w:ins>
      <w:ins w:id="10070" w:author="Z. Zukowski" w:date="2026-05-22T00:00:00Z">
        <w:r>
          <w:t xml:space="preserve"> </w:t>
        </w:r>
      </w:ins>
      <w:ins w:id="10070" w:author="Z. Zukowski" w:date="2026-05-22T00:00:00Z">
        <w:r>
          <w:t xml:space="preserve">CRV into a single locked veCRV position and votes as a meta-governance</w:t>
        </w:r>
      </w:ins>
      <w:ins w:id="10070" w:author="Z. Zukowski" w:date="2026-05-22T00:00:00Z">
        <w:r>
          <w:t xml:space="preserve"> </w:t>
        </w:r>
      </w:ins>
      <w:ins w:id="10070" w:author="Z. Zukowski" w:date="2026-05-22T00:00:00Z">
        <w:r>
          <w:t xml:space="preserve">layer on behalf of depositors, holds 48 percent of the top-50 deposit-weighted</w:t>
        </w:r>
      </w:ins>
      <w:ins w:id="10070" w:author="Z. Zukowski" w:date="2026-05-22T00:00:00Z">
        <w:r>
          <w:t xml:space="preserve"> </w:t>
        </w:r>
      </w:ins>
      <w:ins w:id="10070" w:author="Z. Zukowski" w:date="2026-05-22T00:00:00Z">
        <w:r>
          <w:t xml:space="preserve">share; Yearn Finance, a yield-aggregation protocol that runs a similar</w:t>
        </w:r>
      </w:ins>
      <w:ins w:id="10070" w:author="Z. Zukowski" w:date="2026-05-22T00:00:00Z">
        <w:r>
          <w:t xml:space="preserve"> </w:t>
        </w:r>
      </w:ins>
      <w:ins w:id="10070" w:author="Z. Zukowski" w:date="2026-05-22T00:00:00Z">
        <w:r>
          <w:t xml:space="preserve">meta-governance position, holds 14 percent; Stake DAO holds 9 percent; the remaining</w:t>
        </w:r>
      </w:ins>
      <w:ins w:id="10070" w:author="Z. Zukowski" w:date="2026-05-22T00:00:00Z">
        <w:r>
          <w:t xml:space="preserve"> </w:t>
        </w:r>
      </w:ins>
      <w:ins w:id="10070" w:author="Z. Zukowski" w:date="2026-05-22T00:00:00Z">
        <w:r>
          <w:t xml:space="preserve">top-50 lockers each hold less than 4 percent); the methodology is</w:t>
        </w:r>
      </w:ins>
      <w:ins w:id="10070" w:author="Z. Zukowski" w:date="2026-05-22T00:00:00Z">
        <w:r>
          <w:t xml:space="preserve"> </w:t>
        </w:r>
      </w:ins>
      <w:ins w:id="10070" w:author="Z. Zukowski" w:date="2026-05-22T00:00:00Z">
        <w:r>
          <w:t xml:space="preserve">discussed in Section 4.5.2. HHI for Uniswap reflects post-burn-rule exclusion of</w:t>
        </w:r>
      </w:ins>
      <w:ins w:id="10070" w:author="Z. Zukowski" w:date="2026-05-22T00:00:00Z">
        <w:r>
          <w:t xml:space="preserve"> </w:t>
        </w:r>
      </w:ins>
      <w:ins w:id="10070" w:author="Z. Zukowski" w:date="2026-05-22T00:00:00Z">
        <w:r>
          <w:t xml:space="preserve">0x000...dead (102.46M UNI, 11.27% of supply). Top-1% and Top-10%</w:t>
        </w:r>
      </w:ins>
      <w:ins w:id="10070" w:author="Z. Zukowski" w:date="2026-05-22T00:00:00Z">
        <w:r>
          <w:t xml:space="preserve"> </w:t>
        </w:r>
      </w:ins>
      <w:ins w:id="10070" w:author="Z. Zukowski" w:date="2026-05-22T00:00:00Z">
        <w:r>
          <w:t xml:space="preserve">columns for AAVE, UNI, ARB, GRT, and OP report post-exclusion shares,</w:t>
        </w:r>
      </w:ins>
      <w:ins w:id="10070" w:author="Z. Zukowski" w:date="2026-05-22T00:00:00Z">
        <w:r>
          <w:t xml:space="preserve"> </w:t>
        </w:r>
      </w:ins>
      <w:ins w:id="10070" w:author="Z. Zukowski" w:date="2026-05-22T00:00:00Z">
        <w:r>
          <w:t xml:space="preserve">applying the same protocol-controlled-address exclusion methodology used</w:t>
        </w:r>
      </w:ins>
      <w:ins w:id="10070" w:author="Z. Zukowski" w:date="2026-05-22T00:00:00Z">
        <w:r>
          <w:t xml:space="preserve"> </w:t>
        </w:r>
      </w:ins>
      <w:ins w:id="10070" w:author="Z. Zukowski" w:date="2026-05-22T00:00:00Z">
        <w:r>
          <w:t xml:space="preserve">for HHI computation.</w:t>
        </w:r>
      </w:ins>
    </w:p>
    <w:p>
      <w:pPr>
        <w:pStyle w:val="BodyText"/>
      </w:pPr>
      <w:ins w:id="10071" w:author="Z. Zukowski" w:date="2026-05-22T00:00:00Z">
        <w:r>
          <w:t xml:space="preserve">Among DeFi</w:t>
        </w:r>
      </w:ins>
      <w:ins w:id="10071" w:author="Z. Zukowski" w:date="2026-05-22T00:00:00Z">
        <w:r>
          <w:t xml:space="preserve"> </w:t>
        </w:r>
      </w:ins>
      <w:ins w:id="10071" w:author="Z. Zukowski" w:date="2026-05-22T00:00:00Z">
        <w:r>
          <w:t xml:space="preserve">governance tokens, HHI ranges from 0.005 (Hyperliquid, after excluding</w:t>
        </w:r>
      </w:ins>
      <w:ins w:id="10071" w:author="Z. Zukowski" w:date="2026-05-22T00:00:00Z">
        <w:r>
          <w:t xml:space="preserve"> </w:t>
        </w:r>
      </w:ins>
      <w:ins w:id="10071" w:author="Z. Zukowski" w:date="2026-05-22T00:00:00Z">
        <w:r>
          <w:t xml:space="preserve">the Assistance Fund and burn addresses) to 0.065 (GMX). Curve’s</w:t>
        </w:r>
      </w:ins>
      <w:ins w:id="10071" w:author="Z. Zukowski" w:date="2026-05-22T00:00:00Z">
        <w:r>
          <w:t xml:space="preserve"> </w:t>
        </w:r>
      </w:ins>
      <w:ins w:id="10071" w:author="Z. Zukowski" w:date="2026-05-22T00:00:00Z">
        <w:r>
          <w:t xml:space="preserve">raw CRV holding HHI of 0.014 reflects the post-Convex-exclusion</w:t>
        </w:r>
      </w:ins>
      <w:ins w:id="10071" w:author="Z. Zukowski" w:date="2026-05-22T00:00:00Z">
        <w:r>
          <w:t xml:space="preserve"> </w:t>
        </w:r>
      </w:ins>
      <w:ins w:id="10071" w:author="Z. Zukowski" w:date="2026-05-22T00:00:00Z">
        <w:r>
          <w:t xml:space="preserve">distribution; the veCRV-weighted voting concentration is substantially</w:t>
        </w:r>
      </w:ins>
      <w:ins w:id="10071" w:author="Z. Zukowski" w:date="2026-05-22T00:00:00Z">
        <w:r>
          <w:t xml:space="preserve"> </w:t>
        </w:r>
      </w:ins>
      <w:ins w:id="10071" w:author="Z. Zukowski" w:date="2026-05-22T00:00:00Z">
        <w:r>
          <w:t xml:space="preserve">higher (approximately 0.26 computed from cumulative deposit volume</w:t>
        </w:r>
      </w:ins>
      <w:ins w:id="10071" w:author="Z. Zukowski" w:date="2026-05-22T00:00:00Z">
        <w:r>
          <w:t xml:space="preserve"> </w:t>
        </w:r>
      </w:ins>
      <w:ins w:id="10071" w:author="Z. Zukowski" w:date="2026-05-22T00:00:00Z">
        <w:r>
          <w:t xml:space="preserve">across the top-50 veCRV lockers; Section 4.5.2). DePIN protocols span</w:t>
        </w:r>
      </w:ins>
      <w:ins w:id="10071" w:author="Z. Zukowski" w:date="2026-05-22T00:00:00Z">
        <w:r>
          <w:t xml:space="preserve"> </w:t>
        </w:r>
      </w:ins>
      <w:ins w:id="10071" w:author="Z. Zukowski" w:date="2026-05-22T00:00:00Z">
        <w:r>
          <w:t xml:space="preserve">a similar range: 0.020 (Hivemapper) to 0.199 (Livepeer); Morpheus AI</w:t>
        </w:r>
      </w:ins>
      <w:ins w:id="10071" w:author="Z. Zukowski" w:date="2026-05-22T00:00:00Z">
        <w:r>
          <w:t xml:space="preserve"> </w:t>
        </w:r>
      </w:ins>
      <w:ins w:id="10071" w:author="Z. Zukowski" w:date="2026-05-22T00:00:00Z">
        <w:r>
          <w:t xml:space="preserve">registers 0.046 after PCA exclusion (per Table 3 row 0.0464).</w:t>
        </w:r>
      </w:ins>
    </w:p>
    <w:p>
      <w:pPr>
        <w:pStyle w:val="BodyText"/>
      </w:pPr>
      <w:ins w:id="10072" w:author="Z. Zukowski" w:date="2026-05-22T00:00:00Z">
        <w:r>
          <w:t xml:space="preserve">Several protocols exhibit much lower concentration in the post-</w:t>
        </w:r>
      </w:ins>
      <w:ins w:id="10072" w:author="Z. Zukowski" w:date="2026-05-22T00:00:00Z">
        <w:r>
          <w:t xml:space="preserve"> </w:t>
        </w:r>
      </w:ins>
      <w:ins w:id="10072" w:author="Z. Zukowski" w:date="2026-05-22T00:00:00Z">
        <w:r>
          <w:t xml:space="preserve">exclusion top-1,000 sample than in the raw holder list. For</w:t>
        </w:r>
      </w:ins>
      <w:ins w:id="10072" w:author="Z. Zukowski" w:date="2026-05-22T00:00:00Z">
        <w:r>
          <w:t xml:space="preserve"> </w:t>
        </w:r>
      </w:ins>
      <w:ins w:id="10072" w:author="Z. Zukowski" w:date="2026-05-22T00:00:00Z">
        <w:r>
          <w:t xml:space="preserve">DRIFT, the raw holder distribution yields HHI 0.419 against the</w:t>
        </w:r>
      </w:ins>
      <w:ins w:id="10072" w:author="Z. Zukowski" w:date="2026-05-22T00:00:00Z">
        <w:r>
          <w:t xml:space="preserve"> </w:t>
        </w:r>
      </w:ins>
      <w:ins w:id="10072" w:author="Z. Zukowski" w:date="2026-05-22T00:00:00Z">
        <w:r>
          <w:t xml:space="preserve">post-exclusion value of 0.026 (Helius enumerates 27,888 distinct</w:t>
        </w:r>
      </w:ins>
      <w:ins w:id="10072" w:author="Z. Zukowski" w:date="2026-05-22T00:00:00Z">
        <w:r>
          <w:t xml:space="preserve"> </w:t>
        </w:r>
      </w:ins>
      <w:ins w:id="10072" w:author="Z. Zukowski" w:date="2026-05-22T00:00:00Z">
        <w:r>
          <w:t xml:space="preserve">holders versus 104 retrieved from the Dune indexer). Wormhole</w:t>
        </w:r>
      </w:ins>
      <w:ins w:id="10072" w:author="Z. Zukowski" w:date="2026-05-22T00:00:00Z">
        <w:r>
          <w:t xml:space="preserve"> </w:t>
        </w:r>
      </w:ins>
      <w:ins w:id="10072" w:author="Z. Zukowski" w:date="2026-05-22T00:00:00Z">
        <w:r>
          <w:t xml:space="preserve">(W) moves from 0.126 (raw) to 0.012 (post-exclusion); GRASS moves</w:t>
        </w:r>
      </w:ins>
      <w:ins w:id="10072" w:author="Z. Zukowski" w:date="2026-05-22T00:00:00Z">
        <w:r>
          <w:t xml:space="preserve"> </w:t>
        </w:r>
      </w:ins>
      <w:ins w:id="10072" w:author="Z. Zukowski" w:date="2026-05-22T00:00:00Z">
        <w:r>
          <w:t xml:space="preserve">from 0.132 to 0.035. The exclusion methodology (Section 3.8; the</w:t>
        </w:r>
      </w:ins>
      <w:ins w:id="10072" w:author="Z. Zukowski" w:date="2026-05-22T00:00:00Z">
        <w:r>
          <w:t xml:space="preserve"> </w:t>
        </w:r>
      </w:ins>
      <w:ins w:id="10072" w:author="Z. Zukowski" w:date="2026-05-22T00:00:00Z">
        <w:r>
          <w:t xml:space="preserve">address-by-address</w:t>
        </w:r>
      </w:ins>
      <w:ins w:id="10072" w:author="Z. Zukowski" w:date="2026-05-22T00:00:00Z">
        <w:r>
          <w:t xml:space="preserve"> </w:t>
        </w:r>
      </w:ins>
      <w:hyperlink r:id="rId51">
        <w:ins w:id="10072" w:author="Z. Zukowski" w:date="2026-05-22T00:00:00Z">
          <w:r>
            <w:rPr>
              <w:rStyle w:val="Hyperlink"/>
            </w:rPr>
            <w:t xml:space="preserve">exclusions log</w:t>
          </w:r>
        </w:ins>
      </w:hyperlink>
      <w:ins w:id="10072" w:author="Z. Zukowski" w:date="2026-05-22T00:00:00Z">
        <w:r>
          <w:t xml:space="preserve">)</w:t>
        </w:r>
      </w:ins>
      <w:ins w:id="10072" w:author="Z. Zukowski" w:date="2026-05-22T00:00:00Z">
        <w:r>
          <w:t xml:space="preserve"> </w:t>
        </w:r>
      </w:ins>
      <w:ins w:id="10072" w:author="Z. Zukowski" w:date="2026-05-22T00:00:00Z">
        <w:r>
          <w:t xml:space="preserve">is particularly consequential for protocols with large foundation</w:t>
        </w:r>
      </w:ins>
      <w:ins w:id="10072" w:author="Z. Zukowski" w:date="2026-05-22T00:00:00Z">
        <w:r>
          <w:t xml:space="preserve"> </w:t>
        </w:r>
      </w:ins>
      <w:ins w:id="10072"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2"/>
    <w:bookmarkStart w:id="60" w:name="depin-vs.-defi-contrast"/>
    <w:p>
      <w:pPr>
        <w:pStyle w:val="Heading2"/>
      </w:pPr>
      <w:r>
        <w:t xml:space="preserve">4.3 DePIN vs. DeFi Contrast</w:t>
      </w:r>
    </w:p>
    <w:p>
      <w:pPr>
        <w:pStyle w:val="FirstParagraph"/>
      </w:pPr>
      <w:ins w:id="10073" w:author="Z. Zukowski" w:date="2026-05-22T00:00:00Z">
        <w:r>
          <w:t xml:space="preserve">This section applies the audit method to a sector comparison. The DePIN-versus-DeFi contrast is not the paper’s core contribution; it is a cross-protocol demonstration of what becomes visible after control attribution, PCA correction, and consistent staking treatment. DePIN protocols have approximately 2.6 times the governance</w:t>
        </w:r>
      </w:ins>
      <w:ins w:id="10073" w:author="Z. Zukowski" w:date="2026-05-22T00:00:00Z">
        <w:r>
          <w:t xml:space="preserve"> </w:t>
        </w:r>
      </w:ins>
      <w:ins w:id="10073" w:author="Z. Zukowski" w:date="2026-05-22T00:00:00Z">
        <w:r>
          <w:t xml:space="preserve">concentration of DeFi protocols (mean HHI 0.067 vs. 0.026, a ratio of 2.6; under the voter-inclusive staking pass-through treatment we adopt as the headline, Mann-Whitney</w:t>
        </w:r>
      </w:ins>
      <w:ins w:id="10073" w:author="Z. Zukowski" w:date="2026-05-22T00:00:00Z">
        <w:r>
          <w:t xml:space="preserve"> </w:t>
        </w:r>
      </w:ins>
      <w:ins w:id="10073" w:author="Z. Zukowski" w:date="2026-05-22T00:00:00Z">
        <w:r>
          <w:t xml:space="preserve">p = 0.028, Cohen’s d = 0.65, N = 15/15; the uniform staking-aggregation exclusion gives a comparable Cohen’s d = 0.75 at Mann-Whitney p = 0.018, Section 4.6.2). The gap holds at the</w:t>
        </w:r>
      </w:ins>
      <w:ins w:id="10073" w:author="Z. Zukowski" w:date="2026-05-22T00:00:00Z">
        <w:r>
          <w:t xml:space="preserve"> </w:t>
        </w:r>
      </w:ins>
      <w:ins w:id="10073" w:author="Z. Zukowski" w:date="2026-05-22T00:00:00Z">
        <w:r>
          <w:t xml:space="preserve">conventional 0.05 threshold in Models 1 and 2 (Table 5) after adjusting</w:t>
        </w:r>
      </w:ins>
      <w:ins w:id="10073" w:author="Z. Zukowski" w:date="2026-05-22T00:00:00Z">
        <w:r>
          <w:t xml:space="preserve"> </w:t>
        </w:r>
      </w:ins>
      <w:ins w:id="10073" w:author="Z. Zukowski" w:date="2026-05-22T00:00:00Z">
        <w:r>
          <w:t xml:space="preserve">for protocol age and valuation, and falls just above the threshold in</w:t>
        </w:r>
      </w:ins>
      <w:ins w:id="10073" w:author="Z. Zukowski" w:date="2026-05-22T00:00:00Z">
        <w:r>
          <w:t xml:space="preserve"> </w:t>
        </w:r>
      </w:ins>
      <w:ins w:id="10073" w:author="Z. Zukowski" w:date="2026-05-22T00:00:00Z">
        <w:r>
          <w:t xml:space="preserve">Model 3 (p = 0.078) after adding the initial insider allocation</w:t>
        </w:r>
      </w:ins>
      <w:ins w:id="10073" w:author="Z. Zukowski" w:date="2026-05-22T00:00:00Z">
        <w:r>
          <w:t xml:space="preserve"> </w:t>
        </w:r>
      </w:ins>
      <w:ins w:id="10073" w:author="Z. Zukowski" w:date="2026-05-22T00:00:00Z">
        <w:r>
          <w:t xml:space="preserve">control. Prior review</w:t>
        </w:r>
      </w:ins>
      <w:ins w:id="10073" w:author="Z. Zukowski" w:date="2026-05-22T00:00:00Z">
        <w:r>
          <w:t xml:space="preserve"> </w:t>
        </w:r>
      </w:ins>
      <w:ins w:id="10073" w:author="Z. Zukowski" w:date="2026-05-22T00:00:00Z">
        <w:r>
          <w:t xml:space="preserve">work documents that DePIN sectors vary in tokenomic architecture</w:t>
        </w:r>
      </w:ins>
      <w:ins w:id="10073" w:author="Z. Zukowski" w:date="2026-05-22T00:00:00Z">
        <w:r>
          <w:t xml:space="preserve"> </w:t>
        </w:r>
      </w:ins>
      <w:ins w:id="10073" w:author="Z. Zukowski" w:date="2026-05-22T00:00:00Z">
        <w:r>
          <w:t xml:space="preserve">(Alshater, 2026): storage networks prioritize staking, wireless coverage</w:t>
        </w:r>
      </w:ins>
      <w:ins w:id="10073" w:author="Z. Zukowski" w:date="2026-05-22T00:00:00Z">
        <w:r>
          <w:t xml:space="preserve"> </w:t>
        </w:r>
      </w:ins>
      <w:ins w:id="10073" w:author="Z. Zukowski" w:date="2026-05-22T00:00:00Z">
        <w:r>
          <w:t xml:space="preserve">emphasizes service verification, compute networks focus on billing. The</w:t>
        </w:r>
      </w:ins>
      <w:ins w:id="10073" w:author="Z. Zukowski" w:date="2026-05-22T00:00:00Z">
        <w:r>
          <w:t xml:space="preserve"> </w:t>
        </w:r>
      </w:ins>
      <w:ins w:id="10073" w:author="Z. Zukowski" w:date="2026-05-22T00:00:00Z">
        <w:r>
          <w:t xml:space="preserve">concentration gap between DePIN and DeFi is not implied by this sectoral</w:t>
        </w:r>
      </w:ins>
      <w:ins w:id="10073" w:author="Z. Zukowski" w:date="2026-05-22T00:00:00Z">
        <w:r>
          <w:t xml:space="preserve"> </w:t>
        </w:r>
      </w:ins>
      <w:ins w:id="10073" w:author="Z. Zukowski" w:date="2026-05-22T00:00:00Z">
        <w:r>
          <w:t xml:space="preserve">variation; it is a separate finding about who holds governance tokens.</w:t>
        </w:r>
      </w:ins>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4" name="Picture"/>
            <a:graphic>
              <a:graphicData uri="http://schemas.openxmlformats.org/drawingml/2006/picture">
                <pic:pic>
                  <pic:nvPicPr>
                    <pic:cNvPr descr="media/fig4_sector_boxplot.png" id="55" name="Picture"/>
                    <pic:cNvPicPr>
                      <a:picLocks noChangeArrowheads="1" noChangeAspect="1"/>
                    </pic:cNvPicPr>
                  </pic:nvPicPr>
                  <pic:blipFill>
                    <a:blip r:embed="rId53"/>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ins w:id="10074" w:author="Z. Zukowski" w:date="2026-05-22T00:00:00Z">
        <w:r>
          <w:rPr>
            <w:b/>
            <w:bCs/>
            <w:i/>
            <w:iCs/>
          </w:rPr>
          <w:t xml:space="preserve">Figure 2.</w:t>
        </w:r>
      </w:ins>
      <w:ins w:id="10074" w:author="Z. Zukowski" w:date="2026-05-22T00:00:00Z">
        <w:r>
          <w:rPr>
            <w:i/>
            <w:iCs/>
          </w:rPr>
          <w:t xml:space="preserve"> </w:t>
        </w:r>
      </w:ins>
      <w:ins w:id="10074" w:author="Z. Zukowski" w:date="2026-05-22T00:00:00Z">
        <w:r>
          <w:rPr>
            <w:i/>
            <w:iCs/>
          </w:rPr>
          <w:t xml:space="preserve">Governance concentration (HHI) by sector. DePIN mean</w:t>
        </w:r>
      </w:ins>
      <w:ins w:id="10074" w:author="Z. Zukowski" w:date="2026-05-22T00:00:00Z">
        <w:r>
          <w:rPr>
            <w:i/>
            <w:iCs/>
          </w:rPr>
          <w:t xml:space="preserve"> </w:t>
        </w:r>
      </w:ins>
      <w:ins w:id="10074" w:author="Z. Zukowski" w:date="2026-05-22T00:00:00Z">
        <w:r>
          <w:rPr>
            <w:i/>
            <w:iCs/>
          </w:rPr>
          <w:t xml:space="preserve">(0.067) exceeds DeFi mean (0.026), with distributions overlapping</w:t>
        </w:r>
      </w:ins>
      <w:ins w:id="10074" w:author="Z. Zukowski" w:date="2026-05-22T00:00:00Z">
        <w:r>
          <w:rPr>
            <w:i/>
            <w:iCs/>
          </w:rPr>
          <w:t xml:space="preserve"> </w:t>
        </w:r>
      </w:ins>
      <w:ins w:id="10074" w:author="Z. Zukowski" w:date="2026-05-22T00:00:00Z">
        <w:r>
          <w:rPr>
            <w:i/>
            <w:iCs/>
          </w:rPr>
          <w:t xml:space="preserve">substantially: 9 of 15 DePIN protocols fall within the DeFi range. The displayed distributions use the of-record post-exclusion HHI; the headline sector test uses the voter-inclusive pass-through treatment (Mann-Whitney</w:t>
        </w:r>
      </w:ins>
      <w:ins w:id="10074" w:author="Z. Zukowski" w:date="2026-05-22T00:00:00Z">
        <w:r>
          <w:rPr>
            <w:i/>
            <w:iCs/>
          </w:rPr>
          <w:t xml:space="preserve"> </w:t>
        </w:r>
      </w:ins>
      <w:ins w:id="10074" w:author="Z. Zukowski" w:date="2026-05-22T00:00:00Z">
        <w:r>
          <w:rPr>
            <w:i/>
            <w:iCs/>
          </w:rPr>
          <w:t xml:space="preserve">p = 0.028, d = 0.65; the uniform staking-aggregation exclusion gives d = 0.75 at p = 0.018) and is robust in direction to sample composition</w:t>
        </w:r>
      </w:ins>
      <w:ins w:id="10074" w:author="Z. Zukowski" w:date="2026-05-22T00:00:00Z">
        <w:r>
          <w:rPr>
            <w:i/>
            <w:iCs/>
          </w:rPr>
          <w:t xml:space="preserve"> </w:t>
        </w:r>
      </w:ins>
      <w:ins w:id="10074" w:author="Z. Zukowski" w:date="2026-05-22T00:00:00Z">
        <w:r>
          <w:rPr>
            <w:i/>
            <w:iCs/>
          </w:rPr>
          <w:t xml:space="preserve">(significant in all 30 leave-one-out iterations). Reading the figure:</w:t>
        </w:r>
      </w:ins>
      <w:ins w:id="10074" w:author="Z. Zukowski" w:date="2026-05-22T00:00:00Z">
        <w:r>
          <w:rPr>
            <w:i/>
            <w:iCs/>
          </w:rPr>
          <w:t xml:space="preserve"> </w:t>
        </w:r>
      </w:ins>
      <w:ins w:id="10074" w:author="Z. Zukowski" w:date="2026-05-22T00:00:00Z">
        <w:r>
          <w:rPr>
            <w:i/>
            <w:iCs/>
          </w:rPr>
          <w:t xml:space="preserve">box plots show the concentration distribution within each sector; the</w:t>
        </w:r>
      </w:ins>
      <w:ins w:id="10074" w:author="Z. Zukowski" w:date="2026-05-22T00:00:00Z">
        <w:r>
          <w:rPr>
            <w:i/>
            <w:iCs/>
          </w:rPr>
          <w:t xml:space="preserve"> </w:t>
        </w:r>
      </w:ins>
      <w:ins w:id="10074" w:author="Z. Zukowski" w:date="2026-05-22T00:00:00Z">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ins>
    </w:p>
    <w:p>
      <w:pPr>
        <w:pStyle w:val="BodyText"/>
      </w:pPr>
      <w:ins w:id="10075" w:author="Z. Zukowski" w:date="2026-05-22T00:00:00Z">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ins>
    </w:p>
    <w:p>
      <w:pPr>
        <w:pStyle w:val="BodyText"/>
      </w:pPr>
      <w:ins w:id="10076" w:author="Z. Zukowski" w:date="2026-05-22T00:00:00Z">
        <w:r>
          <w:t xml:space="preserve">Revenue intensity, protocol maturity, and initial insider allocation are each uninformative, extending the launch-design null sweep to economic-activity intensity.</w:t>
        </w:r>
      </w:ins>
    </w:p>
    <w:p>
      <w:pPr>
        <w:pStyle w:val="BodyText"/>
      </w:pPr>
      <w:ins w:id="10077" w:author="Z. Zukowski" w:date="2026-05-22T00:00:00Z">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The within-sector partial rank correlation (r = 0.47, p = 0.005; Section 4.4) favors a genuine retention mechanism that the sector dummy partly absorbs rather than a weaker underlying effect; whether the newer cohort’s near-zero post-exclusion retention reflects a structural shift in how insiders hold remains a question the cross-section cannot fully resolve, and is left to future panel work.</w:t>
        </w:r>
      </w:ins>
    </w:p>
    <w:p>
      <w:pPr>
        <w:pStyle w:val="BodyText"/>
      </w:pPr>
      <w:ins w:id="10078" w:author="Z. Zukowski" w:date="2026-05-22T00:00:00Z">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7" name="Picture"/>
            <a:graphic>
              <a:graphicData uri="http://schemas.openxmlformats.org/drawingml/2006/picture">
                <pic:pic>
                  <pic:nvPicPr>
                    <pic:cNvPr descr="media/fig_sector_3class_n52.png" id="58" name="Picture"/>
                    <pic:cNvPicPr>
                      <a:picLocks noChangeArrowheads="1" noChangeAspect="1"/>
                    </pic:cNvPicPr>
                  </pic:nvPicPr>
                  <pic:blipFill>
                    <a:blip r:embed="rId56"/>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79" w:author="Z. Zukowski" w:date="2026-05-22T00:00:00Z">
        <w:r>
          <w:rPr>
            <w:b/>
            <w:bCs/>
            <w:i/>
            <w:iCs/>
          </w:rPr>
          <w:t xml:space="preserve">Figure 2b.</w:t>
        </w:r>
      </w:ins>
      <w:ins w:id="10079" w:author="Z. Zukowski" w:date="2026-05-22T00:00:00Z">
        <w:r>
          <w:rPr>
            <w:i/>
            <w:iCs/>
          </w:rPr>
          <w:t xml:space="preserve"> </w:t>
        </w:r>
      </w:ins>
      <w:ins w:id="10079"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offer a candidate mechanism for this structural contrast: during 2025’s market downturn, Helium’s onchain revenue grew over 800 percent while leading DeFi protocol fees declined 27 to 70 percent over the same period (Bane &amp; Gala, 2026; Blockworks, 2026b), consistent with the hypothesis that physical infrastructure revenue is more countercyclical than purely financial protocol fees, though a single downturn cannot establish that as a general property.</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9" w:name="Xa1c6c2e23e53c08150559ff37dc169fb6813ba8"/>
    <w:p>
      <w:pPr>
        <w:pStyle w:val="Heading3"/>
      </w:pPr>
      <w:r>
        <w:t xml:space="preserve">4.3.1 Sector and chain-architecture decomposition</w:t>
      </w:r>
    </w:p>
    <w:p>
      <w:pPr>
        <w:pStyle w:val="FirstParagraph"/>
      </w:pPr>
      <w:ins w:id="10080" w:author="Z. Zukowski" w:date="2026-05-22T00:00:00Z">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81" w:author="Z. Zukowski" w:date="2026-05-22T00:00:00Z">
        <w:r>
          <w:rPr>
            <w:b/>
            <w:bCs/>
            <w:i/>
            <w:iCs/>
          </w:rPr>
          <w:t xml:space="preserve">Table 3.5.</w:t>
        </w:r>
      </w:ins>
      <w:ins w:id="10081" w:author="Z. Zukowski" w:date="2026-05-22T00:00:00Z">
        <w:r>
          <w:rPr>
            <w:i/>
            <w:iCs/>
          </w:rPr>
          <w:t xml:space="preserve"> </w:t>
        </w:r>
      </w:ins>
      <w:ins w:id="10081"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p>
      <w:pPr>
        <w:pStyle w:val="BodyText"/>
      </w:pPr>
      <w:ins w:id="10082"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83"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84"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9"/>
    <w:bookmarkEnd w:id="60"/>
    <w:bookmarkStart w:id="64" w:name="X0512d682b8d60c380581486ebd4d749e54e6a89"/>
    <w:p>
      <w:pPr>
        <w:pStyle w:val="Heading2"/>
      </w:pPr>
      <w:r>
        <w:t xml:space="preserve">4.4 Allocation Design and Post-Distribution Dynamics</w:t>
      </w:r>
    </w:p>
    <w:p>
      <w:pPr>
        <w:pStyle w:val="FirstParagraph"/>
      </w:pPr>
      <w:ins w:id="10085" w:author="Z. Zukowski" w:date="2026-05-22T00:00:00Z">
        <w:r>
          <w:t xml:space="preserve">Initial token allocation design is not associated with governance</w:t>
        </w:r>
      </w:ins>
      <w:ins w:id="10085" w:author="Z. Zukowski" w:date="2026-05-22T00:00:00Z">
        <w:r>
          <w:t xml:space="preserve"> </w:t>
        </w:r>
      </w:ins>
      <w:ins w:id="10085" w:author="Z. Zukowski" w:date="2026-05-22T00:00:00Z">
        <w:r>
          <w:t xml:space="preserve">concentration.</w:t>
        </w:r>
      </w:ins>
      <w:ins w:id="10085" w:author="Z. Zukowski" w:date="2026-05-22T00:00:00Z">
        <w:r>
          <w:t xml:space="preserve"> </w:t>
        </w:r>
      </w:ins>
      <w:ins w:id="10085" w:author="Z. Zukowski" w:date="2026-05-22T00:00:00Z">
        <w:r>
          <w:rPr>
            <w:b/>
            <w:bCs/>
          </w:rPr>
          <w:t xml:space="preserve">Before versus after correction.</w:t>
        </w:r>
      </w:ins>
      <w:ins w:id="10085" w:author="Z. Zukowski" w:date="2026-05-22T00:00:00Z">
        <w:r>
          <w:t xml:space="preserve"> </w:t>
        </w:r>
      </w:ins>
      <w:ins w:id="10085" w:author="Z. Zukowski" w:date="2026-05-22T00:00:00Z">
        <w:r>
          <w:t xml:space="preserve">Before correction, launch allocation and raw holder lists appear informative; after correction, launch allocation is uninformative, current insider retention is the holder-side correlate, and voting power often diverges from holdings. This contrast is the reader-memory frame for the section: the allocation-design measure that looks dispositive on a tokenomics table carries no association with steady-state concentration once protocol-controlled addresses are removed (the unit of control is attributed, not the data cleaned), while the holder-side signal that does survive is current insider retention among top holders, and the rule-making channel (voting power) frequently parts ways with the corrected holdings.</w:t>
        </w:r>
      </w:ins>
    </w:p>
    <w:p>
      <w:pPr>
        <w:pStyle w:val="BodyText"/>
      </w:pPr>
      <w:ins w:id="10086" w:author="Z. Zukowski" w:date="2026-05-22T00:00:00Z">
        <w:r>
          <w:t xml:space="preserve">The percentage of total supply allocated to team and</w:t>
        </w:r>
      </w:ins>
      <w:ins w:id="10086" w:author="Z. Zukowski" w:date="2026-05-22T00:00:00Z">
        <w:r>
          <w:t xml:space="preserve"> </w:t>
        </w:r>
      </w:ins>
      <w:ins w:id="10086" w:author="Z. Zukowski" w:date="2026-05-22T00:00:00Z">
        <w:r>
          <w:t xml:space="preserve">investors at launch shows no significant association with</w:t>
        </w:r>
      </w:ins>
      <w:ins w:id="10086" w:author="Z. Zukowski" w:date="2026-05-22T00:00:00Z">
        <w:r>
          <w:t xml:space="preserve"> </w:t>
        </w:r>
      </w:ins>
      <w:ins w:id="10086" w:author="Z. Zukowski" w:date="2026-05-22T00:00:00Z">
        <w:r>
          <w:t xml:space="preserve">post-distribution HHI (Pearson r = 0.09, p = 0.55, N = 50; Spearman rho</w:t>
        </w:r>
      </w:ins>
      <w:ins w:id="10086" w:author="Z. Zukowski" w:date="2026-05-22T00:00:00Z">
        <w:r>
          <w:t xml:space="preserve"> </w:t>
        </w:r>
      </w:ins>
      <w:ins w:id="10086" w:author="Z. Zukowski" w:date="2026-05-22T00:00:00Z">
        <w:r>
          <w:t xml:space="preserve">= 0.19, p = 0.18).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A two-one-sided-tests equivalence procedure makes that bound explicit: the observed correlation is statistically equivalent to zero within the |r| = 0.38 envelope the sample is powered to detect (TOST p = 0.02), so the allocation null is a positive bounded-effect result rather than a mere failure to reject.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ins>
      <w:ins w:id="10086" w:author="Z. Zukowski" w:date="2026-05-22T00:00:00Z">
        <w:r>
          <w:t xml:space="preserve"> </w:t>
        </w:r>
      </w:ins>
      <w:ins w:id="10086" w:author="Z. Zukowski" w:date="2026-05-22T00:00:00Z">
        <w:r>
          <w:t xml:space="preserve">token unlock progress, float-adjusted concentration, and the interaction</w:t>
        </w:r>
      </w:ins>
      <w:ins w:id="10086" w:author="Z. Zukowski" w:date="2026-05-22T00:00:00Z">
        <w:r>
          <w:t xml:space="preserve"> </w:t>
        </w:r>
      </w:ins>
      <w:ins w:id="10086" w:author="Z. Zukowski" w:date="2026-05-22T00:00:00Z">
        <w:r>
          <w:t xml:space="preserve">of allocation with protocol maturity all produce coefficients</w:t>
        </w:r>
      </w:ins>
      <w:ins w:id="10086" w:author="Z. Zukowski" w:date="2026-05-22T00:00:00Z">
        <w:r>
          <w:t xml:space="preserve"> </w:t>
        </w:r>
      </w:ins>
      <w:ins w:id="10086" w:author="Z. Zukowski" w:date="2026-05-22T00:00:00Z">
        <w:r>
          <w:t xml:space="preserve">indistinguishable from zero (Table 5, Models 1 through 3; Table 4</w:t>
        </w:r>
      </w:ins>
      <w:ins w:id="10086" w:author="Z. Zukowski" w:date="2026-05-22T00:00:00Z">
        <w:r>
          <w:t xml:space="preserve"> </w:t>
        </w:r>
      </w:ins>
      <w:ins w:id="10086" w:author="Z. Zukowski" w:date="2026-05-22T00:00:00Z">
        <w:r>
          <w:t xml:space="preserve">summarizes the bivariate battery). Beyond these single-covariate tests, a joint test of the full launch-design block (founder-team allocation, investor allocation, and protocol maturity) is also null: together these covariates explain 4.2 percent of the variance in post-exclusion HHI (F(3, 41) = 0.60, p = 0.62), so no launch-design covariate is informative about steady-state concentration individually or jointly. Statistically Validated Network</w:t>
        </w:r>
      </w:ins>
      <w:ins w:id="10086" w:author="Z. Zukowski" w:date="2026-05-22T00:00:00Z">
        <w:r>
          <w:t xml:space="preserve"> </w:t>
        </w:r>
      </w:ins>
      <w:ins w:id="10086" w:author="Z. Zukowski" w:date="2026-05-22T00:00:00Z">
        <w:r>
          <w:t xml:space="preserve">analysis (a method that filters a correlation network to retain only statistically significant co-movement links) across DeFi protocols documents that governance concentration</w:t>
        </w:r>
      </w:ins>
      <w:ins w:id="10086" w:author="Z. Zukowski" w:date="2026-05-22T00:00:00Z">
        <w:r>
          <w:t xml:space="preserve"> </w:t>
        </w:r>
      </w:ins>
      <w:ins w:id="10086" w:author="Z. Zukowski" w:date="2026-05-22T00:00:00Z">
        <w:r>
          <w:t xml:space="preserve">shifts dynamically in correlation with total value locked and secondary</w:t>
        </w:r>
      </w:ins>
      <w:ins w:id="10086" w:author="Z. Zukowski" w:date="2026-05-22T00:00:00Z">
        <w:r>
          <w:t xml:space="preserve"> </w:t>
        </w:r>
      </w:ins>
      <w:ins w:id="10086" w:author="Z. Zukowski" w:date="2026-05-22T00:00:00Z">
        <w:r>
          <w:t xml:space="preserve">market valuations (Eisermann et al., 2025), consistent with the</w:t>
        </w:r>
      </w:ins>
      <w:ins w:id="10086" w:author="Z. Zukowski" w:date="2026-05-22T00:00:00Z">
        <w:r>
          <w:t xml:space="preserve"> </w:t>
        </w:r>
      </w:ins>
      <w:ins w:id="10086" w:author="Z. Zukowski" w:date="2026-05-22T00:00:00Z">
        <w:r>
          <w:t xml:space="preserve">post-distribution market dynamics that render initial allocation design</w:t>
        </w:r>
      </w:ins>
      <w:ins w:id="10086" w:author="Z. Zukowski" w:date="2026-05-22T00:00:00Z">
        <w:r>
          <w:t xml:space="preserve"> </w:t>
        </w:r>
      </w:ins>
      <w:ins w:id="10086" w:author="Z. Zukowski" w:date="2026-05-22T00:00:00Z">
        <w:r>
          <w:t xml:space="preserve">uninformative in the cross-section.</w:t>
        </w:r>
      </w:ins>
    </w:p>
    <w:p>
      <w:pPr>
        <w:pStyle w:val="BodyText"/>
      </w:pPr>
      <w:ins w:id="10087" w:author="Z. Zukowski" w:date="2026-05-22T00:00:00Z">
        <w:r>
          <w:t xml:space="preserve">A descriptive check on the post-distribution HHI panel (Supplementary File S7; quarterly governance-HHI from three to twenty-four months after token generation) corroborates the cross-sectional null longitudinally: launch insider allocation is uncorrelated with the twenty-four-month governance-HHI endpoint (Pearson r = -0.14, Spearman rho = 0.04, N = 13; both non-significant), with the three-month value (Pearson r = -0.28), and with the three-to-twenty-four-month change (Pearson r = -0.28), and the null is robust to dropping the two most influential protocols (Curve, a structural vote-escrow outlier, and Aave, the lowest-insider-allocation protocol in the panel) and to how MakerDAO’s two panel vintages are collapsed to a single protocol. This panel measures a governance-participation HHI construct that diverges from the post-exclusion holding HHI used elsewhere, most notably for vote-escrow protocols such as Curve, so it is a longitudinal corroboration of the allocation null rather than the same measure observed at a later date. These panel correlations are descriptive and consistent with the paper’s temporal-scope boundary (Section 5.7); causal inference and deconcentration trajectories require the panel-and-event-study workstream in the forward research agenda (Section 5.8).</w:t>
        </w:r>
      </w:ins>
    </w:p>
    <w:p>
      <w:pPr>
        <w:pStyle w:val="BodyText"/>
      </w:pPr>
      <w:ins w:id="10088" w:author="Z. Zukowski" w:date="2026-05-22T00:00:00Z">
        <w:r>
          <w:t xml:space="preserve">Methodological note on AAVE: the stkAAVE staking contract is excluded</w:t>
        </w:r>
      </w:ins>
      <w:ins w:id="10088" w:author="Z. Zukowski" w:date="2026-05-22T00:00:00Z">
        <w:r>
          <w:t xml:space="preserve"> </w:t>
        </w:r>
      </w:ins>
      <w:ins w:id="10088" w:author="Z. Zukowski" w:date="2026-05-22T00:00:00Z">
        <w:r>
          <w:t xml:space="preserve">from the holding Herfindahl-Hirschman Index per the</w:t>
        </w:r>
      </w:ins>
      <w:ins w:id="10088" w:author="Z. Zukowski" w:date="2026-05-22T00:00:00Z">
        <w:r>
          <w:t xml:space="preserve"> </w:t>
        </w:r>
      </w:ins>
      <w:ins w:id="10088" w:author="Z. Zukowski" w:date="2026-05-22T00:00:00Z">
        <w:r>
          <w:t xml:space="preserve">protocol-controlled-address rule, but stakers retain pass-through voting</w:t>
        </w:r>
      </w:ins>
      <w:ins w:id="10088" w:author="Z. Zukowski" w:date="2026-05-22T00:00:00Z">
        <w:r>
          <w:t xml:space="preserve"> </w:t>
        </w:r>
      </w:ins>
      <w:ins w:id="10088" w:author="Z. Zukowski" w:date="2026-05-22T00:00:00Z">
        <w:r>
          <w:t xml:space="preserve">power, so the reported AAVE holding HHI of 0.013 understates effective</w:t>
        </w:r>
      </w:ins>
      <w:ins w:id="10088" w:author="Z. Zukowski" w:date="2026-05-22T00:00:00Z">
        <w:r>
          <w:t xml:space="preserve"> </w:t>
        </w:r>
      </w:ins>
      <w:ins w:id="10088" w:author="Z. Zukowski" w:date="2026-05-22T00:00:00Z">
        <w:r>
          <w:t xml:space="preserve">insider control. Attributing the staked balance back to the underlying</w:t>
        </w:r>
      </w:ins>
      <w:ins w:id="10088" w:author="Z. Zukowski" w:date="2026-05-22T00:00:00Z">
        <w:r>
          <w:t xml:space="preserve"> </w:t>
        </w:r>
      </w:ins>
      <w:ins w:id="10088" w:author="Z. Zukowski" w:date="2026-05-22T00:00:00Z">
        <w:r>
          <w:t xml:space="preserve">stakers resolves what the wholesale exclusion hides: stkAAVE holds 21.67</w:t>
        </w:r>
      </w:ins>
      <w:ins w:id="10088" w:author="Z. Zukowski" w:date="2026-05-22T00:00:00Z">
        <w:r>
          <w:t xml:space="preserve"> </w:t>
        </w:r>
      </w:ins>
      <w:ins w:id="10088" w:author="Z. Zukowski" w:date="2026-05-22T00:00:00Z">
        <w:r>
          <w:t xml:space="preserve">percent of AAVE supply, of which roughly 4.4 to 6.3 percent of total supply</w:t>
        </w:r>
      </w:ins>
      <w:ins w:id="10088" w:author="Z. Zukowski" w:date="2026-05-22T00:00:00Z">
        <w:r>
          <w:t xml:space="preserve"> </w:t>
        </w:r>
      </w:ins>
      <w:ins w:id="10088" w:author="Z. Zukowski" w:date="2026-05-22T00:00:00Z">
        <w:r>
          <w:t xml:space="preserve">is insider AAVE (Aave team multi-signature wallets plus the founder)</w:t>
        </w:r>
      </w:ins>
      <w:ins w:id="10088" w:author="Z. Zukowski" w:date="2026-05-22T00:00:00Z">
        <w:r>
          <w:t xml:space="preserve"> </w:t>
        </w:r>
      </w:ins>
      <w:ins w:id="10088" w:author="Z. Zukowski" w:date="2026-05-22T00:00:00Z">
        <w:r>
          <w:t xml:space="preserve">invisible to the top-1,000 holder snapshot. At the address level this</w:t>
        </w:r>
      </w:ins>
      <w:ins w:id="10088" w:author="Z. Zukowski" w:date="2026-05-22T00:00:00Z">
        <w:r>
          <w:t xml:space="preserve"> </w:t>
        </w:r>
      </w:ins>
      <w:ins w:id="10088" w:author="Z. Zukowski" w:date="2026-05-22T00:00:00Z">
        <w:r>
          <w:t xml:space="preserve">attribution leaves the holding HHI essentially unchanged, and if anything</w:t>
        </w:r>
      </w:ins>
      <w:ins w:id="10088" w:author="Z. Zukowski" w:date="2026-05-22T00:00:00Z">
        <w:r>
          <w:t xml:space="preserve"> </w:t>
        </w:r>
      </w:ins>
      <w:ins w:id="10088" w:author="Z. Zukowski" w:date="2026-05-22T00:00:00Z">
        <w:r>
          <w:t xml:space="preserve">marginally lower: the recovered insider stake re-enters as several distinct</w:t>
        </w:r>
      </w:ins>
      <w:ins w:id="10088" w:author="Z. Zukowski" w:date="2026-05-22T00:00:00Z">
        <w:r>
          <w:t xml:space="preserve"> </w:t>
        </w:r>
      </w:ins>
      <w:ins w:id="10088" w:author="Z. Zukowski" w:date="2026-05-22T00:00:00Z">
        <w:r>
          <w:t xml:space="preserve">staker addresses rather than as a single block, so it enlarges the</w:t>
        </w:r>
      </w:ins>
      <w:ins w:id="10088" w:author="Z. Zukowski" w:date="2026-05-22T00:00:00Z">
        <w:r>
          <w:t xml:space="preserve"> </w:t>
        </w:r>
      </w:ins>
      <w:ins w:id="10088" w:author="Z. Zukowski" w:date="2026-05-22T00:00:00Z">
        <w:r>
          <w:t xml:space="preserve">post-exclusion holder denominator more than it concentrates the</w:t>
        </w:r>
      </w:ins>
      <w:ins w:id="10088" w:author="Z. Zukowski" w:date="2026-05-22T00:00:00Z">
        <w:r>
          <w:t xml:space="preserve"> </w:t>
        </w:r>
      </w:ins>
      <w:ins w:id="10088" w:author="Z. Zukowski" w:date="2026-05-22T00:00:00Z">
        <w:r>
          <w:t xml:space="preserve">squared-share sum, which lowers the HHI slightly rather than raising it.</w:t>
        </w:r>
      </w:ins>
      <w:ins w:id="10088" w:author="Z. Zukowski" w:date="2026-05-22T00:00:00Z">
        <w:r>
          <w:t xml:space="preserve"> </w:t>
        </w:r>
      </w:ins>
      <w:ins w:id="10088" w:author="Z. Zukowski" w:date="2026-05-22T00:00:00Z">
        <w:r>
          <w:t xml:space="preserve">The substantive result is therefore the recovered insider share, not a</w:t>
        </w:r>
      </w:ins>
      <w:ins w:id="10088" w:author="Z. Zukowski" w:date="2026-05-22T00:00:00Z">
        <w:r>
          <w:t xml:space="preserve"> </w:t>
        </w:r>
      </w:ins>
      <w:ins w:id="10088" w:author="Z. Zukowski" w:date="2026-05-22T00:00:00Z">
        <w:r>
          <w:t xml:space="preserve">movement in the holding HHI. This reinforces the reading that the holding measure</w:t>
        </w:r>
      </w:ins>
      <w:ins w:id="10088" w:author="Z. Zukowski" w:date="2026-05-22T00:00:00Z">
        <w:r>
          <w:t xml:space="preserve"> </w:t>
        </w:r>
      </w:ins>
      <w:ins w:id="10088" w:author="Z. Zukowski" w:date="2026-05-22T00:00:00Z">
        <w:r>
          <w:t xml:space="preserve">understates insider control: the concentration the holding HHI does not</w:t>
        </w:r>
      </w:ins>
      <w:ins w:id="10088" w:author="Z. Zukowski" w:date="2026-05-22T00:00:00Z">
        <w:r>
          <w:t xml:space="preserve"> </w:t>
        </w:r>
      </w:ins>
      <w:ins w:id="10088" w:author="Z. Zukowski" w:date="2026-05-22T00:00:00Z">
        <w:r>
          <w:t xml:space="preserve">register surfaces instead in the insider share and in delegated voting</w:t>
        </w:r>
      </w:ins>
      <w:ins w:id="10088" w:author="Z. Zukowski" w:date="2026-05-22T00:00:00Z">
        <w:r>
          <w:t xml:space="preserve"> </w:t>
        </w:r>
      </w:ins>
      <w:ins w:id="10088" w:author="Z. Zukowski" w:date="2026-05-22T00:00:00Z">
        <w:r>
          <w:t xml:space="preserve">power, the latter captured by the companion Tally-sourced AAVE delegation</w:t>
        </w:r>
      </w:ins>
      <w:ins w:id="10088" w:author="Z. Zukowski" w:date="2026-05-22T00:00:00Z">
        <w:r>
          <w:t xml:space="preserve"> </w:t>
        </w:r>
      </w:ins>
      <w:ins w:id="10088" w:author="Z. Zukowski" w:date="2026-05-22T00:00:00Z">
        <w:r>
          <w:t xml:space="preserve">HHI of 0.058 in Table 6.</w:t>
        </w:r>
      </w:ins>
    </w:p>
    <w:p>
      <w:pPr>
        <w:pStyle w:val="BodyText"/>
      </w:pPr>
      <w:ins w:id="10089" w:author="Z. Zukowski" w:date="2026-05-22T00:00:00Z">
        <w:r>
          <w:t xml:space="preserve">Longitudinal panel evidence consistent with the cross-sectional null.</w:t>
        </w:r>
      </w:ins>
      <w:ins w:id="10089" w:author="Z. Zukowski" w:date="2026-05-22T00:00:00Z">
        <w:r>
          <w:t xml:space="preserve"> </w:t>
        </w:r>
      </w:ins>
      <w:ins w:id="10089" w:author="Z. Zukowski" w:date="2026-05-22T00:00:00Z">
        <w:r>
          <w:t xml:space="preserve">A companion quarterly HHI panel for 14 governance tokens over 8</w:t>
        </w:r>
      </w:ins>
      <w:ins w:id="10089" w:author="Z. Zukowski" w:date="2026-05-22T00:00:00Z">
        <w:r>
          <w:t xml:space="preserve"> </w:t>
        </w:r>
      </w:ins>
      <w:ins w:id="10089" w:author="Z. Zukowski" w:date="2026-05-22T00:00:00Z">
        <w:r>
          <w:t xml:space="preserve">quarters post-token-generation event (Supplementary File S7) shows</w:t>
        </w:r>
      </w:ins>
      <w:ins w:id="10089" w:author="Z. Zukowski" w:date="2026-05-22T00:00:00Z">
        <w:r>
          <w:t xml:space="preserve"> </w:t>
        </w:r>
      </w:ins>
      <w:ins w:id="10089" w:author="Z. Zukowski" w:date="2026-05-22T00:00:00Z">
        <w:r>
          <w:t xml:space="preserve">that 11 of 14 protocols exhibit monotonic governance HHI decay over</w:t>
        </w:r>
      </w:ins>
      <w:ins w:id="10089" w:author="Z. Zukowski" w:date="2026-05-22T00:00:00Z">
        <w:r>
          <w:t xml:space="preserve"> </w:t>
        </w:r>
      </w:ins>
      <w:ins w:id="10089" w:author="Z. Zukowski" w:date="2026-05-22T00:00:00Z">
        <w:r>
          <w:t xml:space="preserve">the 24-month observation window, with the three exceptions reflecting</w:t>
        </w:r>
      </w:ins>
      <w:ins w:id="10089" w:author="Z. Zukowski" w:date="2026-05-22T00:00:00Z">
        <w:r>
          <w:t xml:space="preserve"> </w:t>
        </w:r>
      </w:ins>
      <w:ins w:id="10089" w:author="Z. Zukowski" w:date="2026-05-22T00:00:00Z">
        <w:r>
          <w:t xml:space="preserve">mechanism-specific lock-in: CRV (vote-escrow), COMP (reservoir-drip</w:t>
        </w:r>
      </w:ins>
      <w:ins w:id="10089" w:author="Z. Zukowski" w:date="2026-05-22T00:00:00Z">
        <w:r>
          <w:t xml:space="preserve"> </w:t>
        </w:r>
      </w:ins>
      <w:ins w:id="10089" w:author="Z. Zukowski" w:date="2026-05-22T00:00:00Z">
        <w:r>
          <w:t xml:space="preserve">emissions), and ENS (claim-window distribution). The longitudinal</w:t>
        </w:r>
      </w:ins>
      <w:ins w:id="10089" w:author="Z. Zukowski" w:date="2026-05-22T00:00:00Z">
        <w:r>
          <w:t xml:space="preserve"> </w:t>
        </w:r>
      </w:ins>
      <w:ins w:id="10089" w:author="Z. Zukowski" w:date="2026-05-22T00:00:00Z">
        <w:r>
          <w:t xml:space="preserve">pattern reinforces the cross-sectional finding that initial allocation</w:t>
        </w:r>
      </w:ins>
      <w:ins w:id="10089" w:author="Z. Zukowski" w:date="2026-05-22T00:00:00Z">
        <w:r>
          <w:t xml:space="preserve"> </w:t>
        </w:r>
      </w:ins>
      <w:ins w:id="10089" w:author="Z. Zukowski" w:date="2026-05-22T00:00:00Z">
        <w:r>
          <w:t xml:space="preserve">is not associated with steady-state concentration: distributions tend to</w:t>
        </w:r>
      </w:ins>
      <w:ins w:id="10089" w:author="Z. Zukowski" w:date="2026-05-22T00:00:00Z">
        <w:r>
          <w:t xml:space="preserve"> </w:t>
        </w:r>
      </w:ins>
      <w:ins w:id="10089" w:author="Z. Zukowski" w:date="2026-05-22T00:00:00Z">
        <w:r>
          <w:t xml:space="preserve">deconcentrate over time across heterogeneous allocation designs,</w:t>
        </w:r>
      </w:ins>
      <w:ins w:id="10089" w:author="Z. Zukowski" w:date="2026-05-22T00:00:00Z">
        <w:r>
          <w:t xml:space="preserve"> </w:t>
        </w:r>
      </w:ins>
      <w:ins w:id="10089" w:author="Z. Zukowski" w:date="2026-05-22T00:00:00Z">
        <w:r>
          <w:t xml:space="preserve">indicating that the relevant institutional-design margin is</w:t>
        </w:r>
      </w:ins>
      <w:ins w:id="10089" w:author="Z. Zukowski" w:date="2026-05-22T00:00:00Z">
        <w:r>
          <w:t xml:space="preserve"> </w:t>
        </w:r>
      </w:ins>
      <w:ins w:id="10089" w:author="Z. Zukowski" w:date="2026-05-22T00:00:00Z">
        <w:r>
          <w:t xml:space="preserve">post-distribution architecture (delegation programs, lock-in</w:t>
        </w:r>
      </w:ins>
      <w:ins w:id="10089" w:author="Z. Zukowski" w:date="2026-05-22T00:00:00Z">
        <w:r>
          <w:t xml:space="preserve"> </w:t>
        </w:r>
      </w:ins>
      <w:ins w:id="10089" w:author="Z. Zukowski" w:date="2026-05-22T00:00:00Z">
        <w:r>
          <w:t xml:space="preserve">mechanisms, distribution-channel diversity) rather than launch-time</w:t>
        </w:r>
      </w:ins>
      <w:ins w:id="10089" w:author="Z. Zukowski" w:date="2026-05-22T00:00:00Z">
        <w:r>
          <w:t xml:space="preserve"> </w:t>
        </w:r>
      </w:ins>
      <w:ins w:id="10089" w:author="Z. Zukowski" w:date="2026-05-22T00:00:00Z">
        <w:r>
          <w:t xml:space="preserve">allocation. The panel design supports the cross-section’s descriptive</w:t>
        </w:r>
      </w:ins>
      <w:ins w:id="10089" w:author="Z. Zukowski" w:date="2026-05-22T00:00:00Z">
        <w:r>
          <w:t xml:space="preserve"> </w:t>
        </w:r>
      </w:ins>
      <w:ins w:id="10089" w:author="Z. Zukowski" w:date="2026-05-22T00:00:00Z">
        <w:r>
          <w:t xml:space="preserve">claim without resolving causal identification (which requires the</w:t>
        </w:r>
      </w:ins>
      <w:ins w:id="10089" w:author="Z. Zukowski" w:date="2026-05-22T00:00:00Z">
        <w:r>
          <w:t xml:space="preserve"> </w:t>
        </w:r>
      </w:ins>
      <w:ins w:id="10089"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0.09</w:t>
            </w:r>
          </w:p>
        </w:tc>
        <w:tc>
          <w:tcPr/>
          <w:p>
            <w:pPr>
              <w:pStyle w:val="Compact"/>
              <w:jc w:val="left"/>
            </w:pPr>
            <w:r>
              <w:t xml:space="preserve">0.55</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0.87</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w:t>
            </w:r>
            <w:r>
              <w:t xml:space="preserve"> </w:t>
            </w:r>
            <w:r>
              <w:t xml:space="preserve">indicator</w:t>
            </w:r>
          </w:p>
        </w:tc>
        <w:tc>
          <w:tcPr/>
          <w:p>
            <w:pPr>
              <w:pStyle w:val="Compact"/>
              <w:jc w:val="left"/>
            </w:pPr>
            <w:r>
              <w:t xml:space="preserve">Mann-Whitney U=</w:t>
            </w:r>
          </w:p>
        </w:tc>
        <w:tc>
          <w:tcPr/>
          <w:p>
            <w:pPr>
              <w:pStyle w:val="Compact"/>
              <w:jc w:val="left"/>
            </w:pPr>
            <w:r>
              <w:t xml:space="preserve">174 0.</w:t>
            </w:r>
          </w:p>
        </w:tc>
        <w:tc>
          <w:tcPr/>
          <w:p>
            <w:pPr>
              <w:pStyle w:val="Compact"/>
              <w:jc w:val="left"/>
            </w:pPr>
            <w:r>
              <w:t xml:space="preserve">018 30</w:t>
            </w:r>
          </w:p>
        </w:tc>
        <w:tc>
          <w:tcPr/>
          <w:p>
            <w:pPr>
              <w:pStyle w:val="Compact"/>
              <w:jc w:val="left"/>
            </w:pPr>
            <w:r>
              <w:t xml:space="preserve">Ro</w:t>
            </w:r>
          </w:p>
        </w:tc>
        <w:tc>
          <w:tcPr/>
          <w:p>
            <w:pPr>
              <w:pStyle w:val="Compact"/>
              <w:jc w:val="left"/>
            </w:pPr>
            <w:r>
              <w:t xml:space="preserve">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ins w:id="10090" w:author="Z. Zukowski" w:date="2026-05-22T00:00:00Z">
        <w:r>
          <w:rPr>
            <w:b/>
            <w:bCs/>
            <w:i/>
            <w:iCs/>
          </w:rPr>
          <w:t xml:space="preserve">Table 4.</w:t>
        </w:r>
      </w:ins>
      <w:ins w:id="10090" w:author="Z. Zukowski" w:date="2026-05-22T00:00:00Z">
        <w:r>
          <w:rPr>
            <w:i/>
            <w:iCs/>
          </w:rPr>
          <w:t xml:space="preserve"> </w:t>
        </w:r>
      </w:ins>
      <w:ins w:id="10090" w:author="Z. Zukowski" w:date="2026-05-22T00:00:00Z">
        <w:r>
          <w:rPr>
            <w:i/>
            <w:iCs/>
          </w:rPr>
          <w:t xml:space="preserve">Bivariate associations between protocol characteristics</w:t>
        </w:r>
      </w:ins>
      <w:ins w:id="10090" w:author="Z. Zukowski" w:date="2026-05-22T00:00:00Z">
        <w:r>
          <w:rPr>
            <w:i/>
            <w:iCs/>
          </w:rPr>
          <w:t xml:space="preserve"> </w:t>
        </w:r>
      </w:ins>
      <w:ins w:id="10090" w:author="Z. Zukowski" w:date="2026-05-22T00:00:00Z">
        <w:r>
          <w:rPr>
            <w:i/>
            <w:iCs/>
          </w:rPr>
          <w:t xml:space="preserve">and governance concentration (HHI). Allocation, maturity, and float</w:t>
        </w:r>
      </w:ins>
      <w:ins w:id="10090" w:author="Z. Zukowski" w:date="2026-05-22T00:00:00Z">
        <w:r>
          <w:rPr>
            <w:i/>
            <w:iCs/>
          </w:rPr>
          <w:t xml:space="preserve"> </w:t>
        </w:r>
      </w:ins>
      <w:ins w:id="10090" w:author="Z. Zukowski" w:date="2026-05-22T00:00:00Z">
        <w:r>
          <w:rPr>
            <w:i/>
            <w:iCs/>
          </w:rPr>
          <w:t xml:space="preserve">specifications are null. Insider wallet presence is significant but the</w:t>
        </w:r>
      </w:ins>
      <w:ins w:id="10090" w:author="Z. Zukowski" w:date="2026-05-22T00:00:00Z">
        <w:r>
          <w:rPr>
            <w:i/>
            <w:iCs/>
          </w:rPr>
          <w:t xml:space="preserve"> </w:t>
        </w:r>
      </w:ins>
      <w:ins w:id="10090" w:author="Z. Zukowski" w:date="2026-05-22T00:00:00Z">
        <w:r>
          <w:rPr>
            <w:i/>
            <w:iCs/>
          </w:rPr>
          <w:t xml:space="preserve">balance-based measure does not survive a tautology check (Section 4.4).</w:t>
        </w:r>
      </w:ins>
      <w:ins w:id="10090" w:author="Z. Zukowski" w:date="2026-05-22T00:00:00Z">
        <w:r>
          <w:rPr>
            <w:i/>
            <w:iCs/>
          </w:rPr>
          <w:t xml:space="preserve"> </w:t>
        </w:r>
      </w:ins>
      <w:ins w:id="10090" w:author="Z. Zukowski" w:date="2026-05-22T00:00:00Z">
        <w:r>
          <w:rPr>
            <w:i/>
            <w:iCs/>
          </w:rPr>
          <w:t xml:space="preserve">Subsidy is significant in levels but driven entirely by Livepeer</w:t>
        </w:r>
      </w:ins>
      <w:ins w:id="10090" w:author="Z. Zukowski" w:date="2026-05-22T00:00:00Z">
        <w:r>
          <w:rPr>
            <w:i/>
            <w:iCs/>
          </w:rPr>
          <w:t xml:space="preserve"> </w:t>
        </w:r>
      </w:ins>
      <w:ins w:id="10090" w:author="Z. Zukowski" w:date="2026-05-22T00:00:00Z">
        <w:r>
          <w:rPr>
            <w:i/>
            <w:iCs/>
          </w:rPr>
          <w:t xml:space="preserve">(Section 4.6). * LOO-robust (39/39). MCap = market capitalization; FDV</w:t>
        </w:r>
      </w:ins>
      <w:ins w:id="10090" w:author="Z. Zukowski" w:date="2026-05-22T00:00:00Z">
        <w:r>
          <w:rPr>
            <w:i/>
            <w:iCs/>
          </w:rPr>
          <w:t xml:space="preserve"> </w:t>
        </w:r>
      </w:ins>
      <w:ins w:id="10090" w:author="Z. Zukowski" w:date="2026-05-22T00:00:00Z">
        <w:r>
          <w:rPr>
            <w:i/>
            <w:iCs/>
          </w:rPr>
          <w:t xml:space="preserve">= fully diluted valuation. N is the number of protocols in each test’s covariate-complete subsample (varying with per-covariate data availability). Insider allocation is coded as initial team plus investor allocation at each token’s own token-generation event (TGE), with allocation buckets normalized to sum to 100 percent. Bittensor, Morpheus, and MetaDAO are genuine fair launches with zero insider allocation. Helium also carries zero TGE insider allocation; roughly 34 percent of cumulative HNT emissions accrue to HST holders (Nova Labs investors and early employees) as an ongoing emission share rather than a TGE allocation, and are reported as such rather than re-coded (HIP-138 steps that share down from 30 to 15 percent). Anyone (10 percent team), Aave (18.75 percent, the ETHLend founder-and-developer allocation that migrated one-to-one from LEND), and Gnosis (95.82 percent team-and-ConsenSys-retained at the 2017 Dutch auction, which sold roughly 4 percent to the public) are coded from documented launch structure under this convention.</w:t>
        </w:r>
      </w:ins>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protocols with no insider</w:t>
      </w:r>
      <w:r>
        <w:t xml:space="preserve"> </w:t>
      </w:r>
      <w:r>
        <w:t xml:space="preserve">top-holders,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non-insider correlation is robust to resampling and perturbation: its bootstrap 95 percent confidence interval is [0.21, 0.80] with 99.9 percent of resamples positive, a label-permutation test gives p = 0.001, and all thirty-four leave-one-out folds remain positive. Controlling for architectural sector with a partial rank correlation, the within-sector association holds (r = 0.47, p = 0.005, N = 34), so the retention-concentration link operates within sectors rather than reflecting the DePIN-versus-DeFi contrast alone.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21773"/>
            <wp:effectExtent b="0" l="0" r="0" t="0"/>
            <wp:docPr descr="" title="" id="62" name="Picture"/>
            <a:graphic>
              <a:graphicData uri="http://schemas.openxmlformats.org/drawingml/2006/picture">
                <pic:pic>
                  <pic:nvPicPr>
                    <pic:cNvPr descr="media/fig5_allocation_scatter.png" id="63" name="Picture"/>
                    <pic:cNvPicPr>
                      <a:picLocks noChangeArrowheads="1" noChangeAspect="1"/>
                    </pic:cNvPicPr>
                  </pic:nvPicPr>
                  <pic:blipFill>
                    <a:blip r:embed="rId61"/>
                    <a:stretch>
                      <a:fillRect/>
                    </a:stretch>
                  </pic:blipFill>
                  <pic:spPr bwMode="auto">
                    <a:xfrm>
                      <a:off x="0" y="0"/>
                      <a:ext cx="5334000" cy="3721773"/>
                    </a:xfrm>
                    <a:prstGeom prst="rect">
                      <a:avLst/>
                    </a:prstGeom>
                    <a:noFill/>
                    <a:ln w="9525">
                      <a:noFill/>
                      <a:headEnd/>
                      <a:tailEnd/>
                    </a:ln>
                  </pic:spPr>
                </pic:pic>
              </a:graphicData>
            </a:graphic>
          </wp:inline>
        </w:drawing>
      </w:r>
    </w:p>
    <w:p>
      <w:pPr>
        <w:pStyle w:val="BodyText"/>
      </w:pPr>
      <w:ins w:id="10091" w:author="Z. Zukowski" w:date="2026-05-22T00:00:00Z">
        <w:r>
          <w:rPr>
            <w:b/>
            <w:bCs/>
            <w:i/>
            <w:iCs/>
          </w:rPr>
          <w:t xml:space="preserve">Figure 3.</w:t>
        </w:r>
      </w:ins>
      <w:ins w:id="10091" w:author="Z. Zukowski" w:date="2026-05-22T00:00:00Z">
        <w:r>
          <w:rPr>
            <w:i/>
            <w:iCs/>
          </w:rPr>
          <w:t xml:space="preserve"> </w:t>
        </w:r>
      </w:ins>
      <w:ins w:id="10091" w:author="Z. Zukowski" w:date="2026-05-22T00:00:00Z">
        <w:r>
          <w:rPr>
            <w:i/>
            <w:iCs/>
          </w:rPr>
          <w:t xml:space="preserve">Initial insider allocation (%) vs. post-exclusion holding HHI for the N = 50</w:t>
        </w:r>
      </w:ins>
      <w:ins w:id="10091" w:author="Z. Zukowski" w:date="2026-05-22T00:00:00Z">
        <w:r>
          <w:rPr>
            <w:i/>
            <w:iCs/>
          </w:rPr>
          <w:t xml:space="preserve"> </w:t>
        </w:r>
      </w:ins>
      <w:ins w:id="10091" w:author="Z. Zukowski" w:date="2026-05-22T00:00:00Z">
        <w:r>
          <w:rPr>
            <w:i/>
            <w:iCs/>
          </w:rPr>
          <w:t xml:space="preserve">allocation battery (the DePIN, DeFi, and infrastructure-layer cross-section with initial-insider-allocation data; insider allocation is initial team plus investor allocation at each token’s TGE, with per-protocol coding notes in the Table 4 caption). The null relationship (Pearson r = 0.09, p = 0.55; Spearman rho = 0.19, p = 0.18)</w:t>
        </w:r>
      </w:ins>
      <w:ins w:id="10091" w:author="Z. Zukowski" w:date="2026-05-22T00:00:00Z">
        <w:r>
          <w:rPr>
            <w:i/>
            <w:iCs/>
          </w:rPr>
          <w:t xml:space="preserve"> </w:t>
        </w:r>
      </w:ins>
      <w:ins w:id="10091" w:author="Z. Zukowski" w:date="2026-05-22T00:00:00Z">
        <w:r>
          <w:rPr>
            <w:i/>
            <w:iCs/>
          </w:rPr>
          <w:t xml:space="preserve">is the paper’s lead finding: initial allocation design is not associated with</w:t>
        </w:r>
      </w:ins>
      <w:ins w:id="10091" w:author="Z. Zukowski" w:date="2026-05-22T00:00:00Z">
        <w:r>
          <w:rPr>
            <w:i/>
            <w:iCs/>
          </w:rPr>
          <w:t xml:space="preserve"> </w:t>
        </w:r>
      </w:ins>
      <w:ins w:id="10091" w:author="Z. Zukowski" w:date="2026-05-22T00:00:00Z">
        <w:r>
          <w:rPr>
            <w:i/>
            <w:iCs/>
          </w:rPr>
          <w:t xml:space="preserve">post-distribution governance concentration. Reading the figure: the</w:t>
        </w:r>
      </w:ins>
      <w:ins w:id="10091" w:author="Z. Zukowski" w:date="2026-05-22T00:00:00Z">
        <w:r>
          <w:rPr>
            <w:i/>
            <w:iCs/>
          </w:rPr>
          <w:t xml:space="preserve"> </w:t>
        </w:r>
      </w:ins>
      <w:ins w:id="10091" w:author="Z. Zukowski" w:date="2026-05-22T00:00:00Z">
        <w:r>
          <w:rPr>
            <w:i/>
            <w:iCs/>
          </w:rPr>
          <w:t xml:space="preserve">absence of a downward slope is the finding; if initial insider allocation drove concentration we would expect a positive slope, and if exclusion</w:t>
        </w:r>
      </w:ins>
      <w:ins w:id="10091" w:author="Z. Zukowski" w:date="2026-05-22T00:00:00Z">
        <w:r>
          <w:rPr>
            <w:i/>
            <w:iCs/>
          </w:rPr>
          <w:t xml:space="preserve"> </w:t>
        </w:r>
      </w:ins>
      <w:ins w:id="10091" w:author="Z. Zukowski" w:date="2026-05-22T00:00:00Z">
        <w:r>
          <w:rPr>
            <w:i/>
            <w:iCs/>
          </w:rPr>
          <w:t xml:space="preserve">overcorrected we would expect a negative slope.</w:t>
        </w:r>
      </w:ins>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0.09, p = 0.55,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92" w:author="Z. Zukowski" w:date="2026-05-22T00:00:00Z">
        <w:r>
          <w:t xml:space="preserve">The governance concentration patterns documented across the sample</w:t>
        </w:r>
      </w:ins>
      <w:ins w:id="10092" w:author="Z. Zukowski" w:date="2026-05-22T00:00:00Z">
        <w:r>
          <w:t xml:space="preserve"> </w:t>
        </w:r>
      </w:ins>
      <w:ins w:id="10092" w:author="Z. Zukowski" w:date="2026-05-22T00:00:00Z">
        <w:r>
          <w:t xml:space="preserve">(Section 4.2, Table 3; HHI range 0.005 to 0.199) are descriptive, but</w:t>
        </w:r>
      </w:ins>
      <w:ins w:id="10092" w:author="Z. Zukowski" w:date="2026-05-22T00:00:00Z">
        <w:r>
          <w:t xml:space="preserve"> </w:t>
        </w:r>
      </w:ins>
      <w:ins w:id="10092" w:author="Z. Zukowski" w:date="2026-05-22T00:00:00Z">
        <w:r>
          <w:t xml:space="preserve">they matter for governance audits because protocols often cite token</w:t>
        </w:r>
      </w:ins>
      <w:ins w:id="10092" w:author="Z. Zukowski" w:date="2026-05-22T00:00:00Z">
        <w:r>
          <w:t xml:space="preserve"> </w:t>
        </w:r>
      </w:ins>
      <w:ins w:id="10092" w:author="Z. Zukowski" w:date="2026-05-22T00:00:00Z">
        <w:r>
          <w:t xml:space="preserve">distribution as evidence of decentralization. The corrected data show</w:t>
        </w:r>
      </w:ins>
      <w:ins w:id="10092" w:author="Z. Zukowski" w:date="2026-05-22T00:00:00Z">
        <w:r>
          <w:t xml:space="preserve"> </w:t>
        </w:r>
      </w:ins>
      <w:ins w:id="10092" w:author="Z. Zukowski" w:date="2026-05-22T00:00:00Z">
        <w:r>
          <w:t xml:space="preserve">that current holder composition, insider retention, and delegation</w:t>
        </w:r>
      </w:ins>
      <w:ins w:id="10092" w:author="Z. Zukowski" w:date="2026-05-22T00:00:00Z">
        <w:r>
          <w:t xml:space="preserve"> </w:t>
        </w:r>
      </w:ins>
      <w:ins w:id="10092" w:author="Z. Zukowski" w:date="2026-05-22T00:00:00Z">
        <w:r>
          <w:t xml:space="preserve">mechanics are more informative audit targets than launch allocation</w:t>
        </w:r>
      </w:ins>
      <w:ins w:id="10092" w:author="Z. Zukowski" w:date="2026-05-22T00:00:00Z">
        <w:r>
          <w:t xml:space="preserve"> </w:t>
        </w:r>
      </w:ins>
      <w:ins w:id="10092"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93"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93" w:author="Z. Zukowski" w:date="2026-05-22T00:00:00Z">
          <w:r>
            <w:rPr>
              <w:rStyle w:val="Hyperlink"/>
            </w:rPr>
            <w:t xml:space="preserve">Supplementary File S5</w:t>
          </w:r>
        </w:ins>
      </w:hyperlink>
      <w:ins w:id="10093"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ins w:id="10094"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95" w:author="Z. Zukowski" w:date="2026-05-22T00:00:00Z">
        <w:r>
          <w:rPr>
            <w:b/>
            <w:bCs/>
            <w:i/>
            <w:iCs/>
          </w:rPr>
          <w:t xml:space="preserve">Table 5, Model 4 (powered specification).</w:t>
        </w:r>
      </w:ins>
      <w:ins w:id="10095" w:author="Z. Zukowski" w:date="2026-05-22T00:00:00Z">
        <w:r>
          <w:rPr>
            <w:i/>
            <w:iCs/>
          </w:rPr>
          <w:t xml:space="preserve"> </w:t>
        </w:r>
      </w:ins>
      <w:ins w:id="10095"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96" w:author="Z. Zukowski" w:date="2026-05-22T00:00:00Z">
        <w:r>
          <w:t xml:space="preserve">A bootstrap robustness check confirms that the sector coefficient is</w:t>
        </w:r>
      </w:ins>
      <w:ins w:id="10096" w:author="Z. Zukowski" w:date="2026-05-22T00:00:00Z">
        <w:r>
          <w:t xml:space="preserve"> </w:t>
        </w:r>
      </w:ins>
      <w:ins w:id="10096" w:author="Z. Zukowski" w:date="2026-05-22T00:00:00Z">
        <w:r>
          <w:t xml:space="preserve">reliably positive across resampling under the full Model 3</w:t>
        </w:r>
      </w:ins>
      <w:ins w:id="10096" w:author="Z. Zukowski" w:date="2026-05-22T00:00:00Z">
        <w:r>
          <w:t xml:space="preserve"> </w:t>
        </w:r>
      </w:ins>
      <w:ins w:id="10096" w:author="Z. Zukowski" w:date="2026-05-22T00:00:00Z">
        <w:r>
          <w:t xml:space="preserve">specification. With 5,000 bootstrap resamples of the N = 35 sample, the</w:t>
        </w:r>
      </w:ins>
      <w:ins w:id="10096" w:author="Z. Zukowski" w:date="2026-05-22T00:00:00Z">
        <w:r>
          <w:t xml:space="preserve"> </w:t>
        </w:r>
      </w:ins>
      <w:ins w:id="10096" w:author="Z. Zukowski" w:date="2026-05-22T00:00:00Z">
        <w:r>
          <w:t xml:space="preserve">DePIN coefficient bootstrap distribution centers at +0.054 with a</w:t>
        </w:r>
      </w:ins>
      <w:ins w:id="10096" w:author="Z. Zukowski" w:date="2026-05-22T00:00:00Z">
        <w:r>
          <w:t xml:space="preserve"> </w:t>
        </w:r>
      </w:ins>
      <w:ins w:id="10096" w:author="Z. Zukowski" w:date="2026-05-22T00:00:00Z">
        <w:r>
          <w:t xml:space="preserve">95 percent percentile interval of [+0.001, +0.091], strictly above zero.</w:t>
        </w:r>
      </w:ins>
      <w:ins w:id="10096" w:author="Z. Zukowski" w:date="2026-05-22T00:00:00Z">
        <w:r>
          <w:t xml:space="preserve"> </w:t>
        </w:r>
      </w:ins>
      <w:ins w:id="10096" w:author="Z. Zukowski" w:date="2026-05-22T00:00:00Z">
        <w:r>
          <w:t xml:space="preserve">The bootstrap-positive fraction is 98.0 percent. The Model 3 attenuation</w:t>
        </w:r>
      </w:ins>
      <w:ins w:id="10096" w:author="Z. Zukowski" w:date="2026-05-22T00:00:00Z">
        <w:r>
          <w:t xml:space="preserve"> </w:t>
        </w:r>
      </w:ins>
      <w:ins w:id="10096" w:author="Z. Zukowski" w:date="2026-05-22T00:00:00Z">
        <w:r>
          <w:t xml:space="preserve">relative to Models 1 and 2 is attributable to partial collinearity</w:t>
        </w:r>
      </w:ins>
      <w:ins w:id="10096" w:author="Z. Zukowski" w:date="2026-05-22T00:00:00Z">
        <w:r>
          <w:t xml:space="preserve"> </w:t>
        </w:r>
      </w:ins>
      <w:ins w:id="10096" w:author="Z. Zukowski" w:date="2026-05-22T00:00:00Z">
        <w:r>
          <w:t xml:space="preserve">between the DePIN sector indicator and the insider-allocation control: in</w:t>
        </w:r>
      </w:ins>
      <w:ins w:id="10096" w:author="Z. Zukowski" w:date="2026-05-22T00:00:00Z">
        <w:r>
          <w:t xml:space="preserve"> </w:t>
        </w:r>
      </w:ins>
      <w:ins w:id="10096" w:author="Z. Zukowski" w:date="2026-05-22T00:00:00Z">
        <w:r>
          <w:t xml:space="preserve">the cross-section, DePIN protocols cluster on higher insider</w:t>
        </w:r>
      </w:ins>
      <w:ins w:id="10096" w:author="Z. Zukowski" w:date="2026-05-22T00:00:00Z">
        <w:r>
          <w:t xml:space="preserve"> </w:t>
        </w:r>
      </w:ins>
      <w:ins w:id="10096" w:author="Z. Zukowski" w:date="2026-05-22T00:00:00Z">
        <w:r>
          <w:t xml:space="preserve">allocation than DeFi protocols, so a fraction of the sector</w:t>
        </w:r>
      </w:ins>
      <w:ins w:id="10096" w:author="Z. Zukowski" w:date="2026-05-22T00:00:00Z">
        <w:r>
          <w:t xml:space="preserve"> </w:t>
        </w:r>
      </w:ins>
      <w:ins w:id="10096" w:author="Z. Zukowski" w:date="2026-05-22T00:00:00Z">
        <w:r>
          <w:t xml:space="preserve">coefficient’s signal is absorbed by the insider variable when both</w:t>
        </w:r>
      </w:ins>
      <w:ins w:id="10096" w:author="Z. Zukowski" w:date="2026-05-22T00:00:00Z">
        <w:r>
          <w:t xml:space="preserve"> </w:t>
        </w:r>
      </w:ins>
      <w:ins w:id="10096" w:author="Z. Zukowski" w:date="2026-05-22T00:00:00Z">
        <w:r>
          <w:t xml:space="preserve">appear in the same model. This is consistent with the cross-sectional</w:t>
        </w:r>
      </w:ins>
      <w:ins w:id="10096" w:author="Z. Zukowski" w:date="2026-05-22T00:00:00Z">
        <w:r>
          <w:t xml:space="preserve"> </w:t>
        </w:r>
      </w:ins>
      <w:ins w:id="10096" w:author="Z. Zukowski" w:date="2026-05-22T00:00:00Z">
        <w:r>
          <w:t xml:space="preserve">allocation null (Table 4, Pearson r = 0.09 for insider allocation</w:t>
        </w:r>
      </w:ins>
      <w:ins w:id="10096" w:author="Z. Zukowski" w:date="2026-05-22T00:00:00Z">
        <w:r>
          <w:t xml:space="preserve"> </w:t>
        </w:r>
      </w:ins>
      <w:ins w:id="10096" w:author="Z. Zukowski" w:date="2026-05-22T00:00:00Z">
        <w:r>
          <w:t xml:space="preserve">alone) rather than indicating that the sector effect is fragile to</w:t>
        </w:r>
      </w:ins>
      <w:ins w:id="10096" w:author="Z. Zukowski" w:date="2026-05-22T00:00:00Z">
        <w:r>
          <w:t xml:space="preserve"> </w:t>
        </w:r>
      </w:ins>
      <w:ins w:id="10096" w:author="Z. Zukowski" w:date="2026-05-22T00:00:00Z">
        <w:r>
          <w:t xml:space="preserve">covariate inclusion. The N = 35 multivariate sample also limits the</w:t>
        </w:r>
      </w:ins>
      <w:ins w:id="10096" w:author="Z. Zukowski" w:date="2026-05-22T00:00:00Z">
        <w:r>
          <w:t xml:space="preserve"> </w:t>
        </w:r>
      </w:ins>
      <w:ins w:id="10096" w:author="Z. Zukowski" w:date="2026-05-22T00:00:00Z">
        <w:r>
          <w:t xml:space="preserve">precision with which the sector coefficient can be statistically</w:t>
        </w:r>
      </w:ins>
      <w:ins w:id="10096" w:author="Z. Zukowski" w:date="2026-05-22T00:00:00Z">
        <w:r>
          <w:t xml:space="preserve"> </w:t>
        </w:r>
      </w:ins>
      <w:ins w:id="10096" w:author="Z. Zukowski" w:date="2026-05-22T00:00:00Z">
        <w:r>
          <w:t xml:space="preserve">isolated from correlated controls; the bootstrap robustness check</w:t>
        </w:r>
      </w:ins>
      <w:ins w:id="10096" w:author="Z. Zukowski" w:date="2026-05-22T00:00:00Z">
        <w:r>
          <w:t xml:space="preserve"> </w:t>
        </w:r>
      </w:ins>
      <w:ins w:id="10096" w:author="Z. Zukowski" w:date="2026-05-22T00:00:00Z">
        <w:r>
          <w:t xml:space="preserve">above is the more informative robustness statement under small-sample</w:t>
        </w:r>
      </w:ins>
      <w:ins w:id="10096" w:author="Z. Zukowski" w:date="2026-05-22T00:00:00Z">
        <w:r>
          <w:t xml:space="preserve"> </w:t>
        </w:r>
      </w:ins>
      <w:ins w:id="10096"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 An influence check confirms that no single protocol drives this result: across all fifty leave-one-out refits the DePIN coefficient stays significant in both the maturity and retention specifications (worst-case p = 0.022 and p = 0.013), and the most influential observation in the maturity specification is a DeFi protocol whose removal strengthens the DePIN coefficient rather than a DePIN protocol propping it up.</w:t>
        </w:r>
      </w:ins>
    </w:p>
    <w:bookmarkEnd w:id="64"/>
    <w:bookmarkStart w:id="81" w:name="voting-power-vs-holding-concentration"/>
    <w:p>
      <w:pPr>
        <w:pStyle w:val="Heading2"/>
      </w:pPr>
      <w:r>
        <w:t xml:space="preserve">4.5 Voting Power vs Holding Concentration</w:t>
      </w:r>
    </w:p>
    <w:p>
      <w:pPr>
        <w:pStyle w:val="FirstParagraph"/>
      </w:pPr>
      <w:ins w:id="10097" w:author="Z. Zukowski" w:date="2026-05-22T00:00:00Z">
        <w:r>
          <w:t xml:space="preserve">Delegation usually amplifies governance concentration above holding</w:t>
        </w:r>
      </w:ins>
      <w:ins w:id="10097" w:author="Z. Zukowski" w:date="2026-05-22T00:00:00Z">
        <w:r>
          <w:t xml:space="preserve"> </w:t>
        </w:r>
      </w:ins>
      <w:ins w:id="10097" w:author="Z. Zukowski" w:date="2026-05-22T00:00:00Z">
        <w:r>
          <w:t xml:space="preserve">levels in the protocols with comparable voting data. Table 6 compares</w:t>
        </w:r>
      </w:ins>
      <w:ins w:id="10097" w:author="Z. Zukowski" w:date="2026-05-22T00:00:00Z">
        <w:r>
          <w:t xml:space="preserve"> </w:t>
        </w:r>
      </w:ins>
      <w:ins w:id="10097" w:author="Z. Zukowski" w:date="2026-05-22T00:00:00Z">
        <w:r>
          <w:t xml:space="preserve">post-exclusion holding HHI with voting-HHI for eighteen protocols. Thirteen</w:t>
        </w:r>
      </w:ins>
      <w:ins w:id="10097" w:author="Z. Zukowski" w:date="2026-05-22T00:00:00Z">
        <w:r>
          <w:t xml:space="preserve"> </w:t>
        </w:r>
      </w:ins>
      <w:ins w:id="10097" w:author="Z. Zukowski" w:date="2026-05-22T00:00:00Z">
        <w:r>
          <w:t xml:space="preserve">protocols amplify, with ratios from 2.5x (Gnosis) to 25.6x (Polkadot) and</w:t>
        </w:r>
      </w:ins>
      <w:ins w:id="10097" w:author="Z. Zukowski" w:date="2026-05-22T00:00:00Z">
        <w:r>
          <w:t xml:space="preserve"> </w:t>
        </w:r>
      </w:ins>
      <w:ins w:id="10097" w:author="Z. Zukowski" w:date="2026-05-22T00:00:00Z">
        <w:r>
          <w:t xml:space="preserve">a mean of approximately 6.8x (median 4.4x). Five protocols disperse voting power below</w:t>
        </w:r>
      </w:ins>
      <w:ins w:id="10097" w:author="Z. Zukowski" w:date="2026-05-22T00:00:00Z">
        <w:r>
          <w:t xml:space="preserve"> </w:t>
        </w:r>
      </w:ins>
      <w:ins w:id="10097" w:author="Z. Zukowski" w:date="2026-05-22T00:00:00Z">
        <w:r>
          <w:t xml:space="preserve">the holding baseline: ENS (0.48x), GMX (0.87x), HNT (0.26x to 0.39x),</w:t>
        </w:r>
      </w:ins>
      <w:ins w:id="10097" w:author="Z. Zukowski" w:date="2026-05-22T00:00:00Z">
        <w:r>
          <w:t xml:space="preserve"> </w:t>
        </w:r>
      </w:ins>
      <w:ins w:id="10097" w:author="Z. Zukowski" w:date="2026-05-22T00:00:00Z">
        <w:r>
          <w:t xml:space="preserve">JUP (0.12x), and Livepeer (0.27x, the most pronounced DePIN governance disperser). The holding-based HHI reported in Table 3 measures</w:t>
        </w:r>
      </w:ins>
      <w:ins w:id="10097" w:author="Z. Zukowski" w:date="2026-05-22T00:00:00Z">
        <w:r>
          <w:t xml:space="preserve"> </w:t>
        </w:r>
      </w:ins>
      <w:ins w:id="10097" w:author="Z. Zukowski" w:date="2026-05-22T00:00:00Z">
        <w:r>
          <w:t xml:space="preserve">token distribution, not governance power; delegated voting data are</w:t>
        </w:r>
      </w:ins>
      <w:ins w:id="10097" w:author="Z. Zukowski" w:date="2026-05-22T00:00:00Z">
        <w:r>
          <w:t xml:space="preserve"> </w:t>
        </w:r>
      </w:ins>
      <w:ins w:id="10097" w:author="Z. Zukowski" w:date="2026-05-22T00:00:00Z">
        <w:r>
          <w:t xml:space="preserve">therefore necessary for protocols where votes flow through delegates,</w:t>
        </w:r>
      </w:ins>
      <w:ins w:id="10097" w:author="Z. Zukowski" w:date="2026-05-22T00:00:00Z">
        <w:r>
          <w:t xml:space="preserve"> </w:t>
        </w:r>
      </w:ins>
      <w:ins w:id="10097" w:author="Z. Zukowski" w:date="2026-05-22T00:00:00Z">
        <w:r>
          <w:t xml:space="preserve">governance platforms, or lockup-weighted voting systems. To quantify</w:t>
        </w:r>
      </w:ins>
      <w:ins w:id="10097" w:author="Z. Zukowski" w:date="2026-05-22T00:00:00Z">
        <w:r>
          <w:t xml:space="preserve"> </w:t>
        </w:r>
      </w:ins>
      <w:ins w:id="10097" w:author="Z. Zukowski" w:date="2026-05-22T00:00:00Z">
        <w:r>
          <w:t xml:space="preserve">this gap, the analysis uses Tally, Snapshot, and Solana on-chain</w:t>
        </w:r>
      </w:ins>
      <w:ins w:id="10097" w:author="Z. Zukowski" w:date="2026-05-22T00:00:00Z">
        <w:r>
          <w:t xml:space="preserve"> </w:t>
        </w:r>
      </w:ins>
      <w:ins w:id="10097"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98" w:author="Z. Zukowski" w:date="2026-05-22T00:00:00Z">
        <w:r>
          <w:t xml:space="preserve">Amplification varies by sector composition rather than by sector</w:t>
        </w:r>
      </w:ins>
      <w:ins w:id="10098" w:author="Z. Zukowski" w:date="2026-05-22T00:00:00Z">
        <w:r>
          <w:t xml:space="preserve"> </w:t>
        </w:r>
      </w:ins>
      <w:ins w:id="10098" w:author="Z. Zukowski" w:date="2026-05-22T00:00:00Z">
        <w:r>
          <w:t xml:space="preserve">membership. Within DeFi, the range spans 2.5x (Gnosis) to 9.9x (Compound);</w:t>
        </w:r>
      </w:ins>
      <w:ins w:id="10098" w:author="Z. Zukowski" w:date="2026-05-22T00:00:00Z">
        <w:r>
          <w:t xml:space="preserve"> </w:t>
        </w:r>
      </w:ins>
      <w:ins w:id="10098" w:author="Z. Zukowski" w:date="2026-05-22T00:00:00Z">
        <w:r>
          <w:t xml:space="preserve">DePIN spans 3.8x (WeatherXM) to 9.1x (DIMO); infrastructure spans 3.1x</w:t>
        </w:r>
      </w:ins>
      <w:ins w:id="10098" w:author="Z. Zukowski" w:date="2026-05-22T00:00:00Z">
        <w:r>
          <w:t xml:space="preserve"> </w:t>
        </w:r>
      </w:ins>
      <w:ins w:id="10098" w:author="Z. Zukowski" w:date="2026-05-22T00:00:00Z">
        <w:r>
          <w:t xml:space="preserve">(Arbitrum) to 25.6x (Polkadot). The five dispersion exceptions are</w:t>
        </w:r>
      </w:ins>
      <w:ins w:id="10098" w:author="Z. Zukowski" w:date="2026-05-22T00:00:00Z">
        <w:r>
          <w:t xml:space="preserve"> </w:t>
        </w:r>
      </w:ins>
      <w:ins w:id="10098" w:author="Z. Zukowski" w:date="2026-05-22T00:00:00Z">
        <w:r>
          <w:t xml:space="preserve">discussed individually in §4.5.1 (ENS), §4.5.1.1 (GMX), §4.5.4</w:t>
        </w:r>
      </w:ins>
      <w:ins w:id="10098" w:author="Z. Zukowski" w:date="2026-05-22T00:00:00Z">
        <w:r>
          <w:t xml:space="preserve"> </w:t>
        </w:r>
      </w:ins>
      <w:ins w:id="10098" w:author="Z. Zukowski" w:date="2026-05-22T00:00:00Z">
        <w:r>
          <w:t xml:space="preserve">(HNT and JUP under within-Solana heterogeneity), and the Livepeer orchestrator</w:t>
        </w:r>
      </w:ins>
      <w:ins w:id="10098" w:author="Z. Zukowski" w:date="2026-05-22T00:00:00Z">
        <w:r>
          <w:t xml:space="preserve"> </w:t>
        </w:r>
      </w:ins>
      <w:ins w:id="10098" w:author="Z. Zukowski" w:date="2026-05-22T00:00:00Z">
        <w:r>
          <w:t xml:space="preserve">bonded-stake result later in this section (LPT at 0.27x). Sector membership is not associated with</w:t>
        </w:r>
      </w:ins>
      <w:ins w:id="10098" w:author="Z. Zukowski" w:date="2026-05-22T00:00:00Z">
        <w:r>
          <w:t xml:space="preserve"> </w:t>
        </w:r>
      </w:ins>
      <w:ins w:id="10098" w:author="Z. Zukowski" w:date="2026-05-22T00:00:00Z">
        <w:r>
          <w:t xml:space="preserve">how strongly delegation concentrates power; delegate-program design is</w:t>
        </w:r>
      </w:ins>
      <w:ins w:id="10098" w:author="Z. Zukowski" w:date="2026-05-22T00:00:00Z">
        <w:r>
          <w:t xml:space="preserve"> </w:t>
        </w:r>
      </w:ins>
      <w:ins w:id="10098" w:author="Z. Zukowski" w:date="2026-05-22T00:00:00Z">
        <w:r>
          <w:t xml:space="preserve">the more plausible measurement surface. DIMO’s voting HHI (0.228) is 9.1 times its</w:t>
        </w:r>
      </w:ins>
      <w:ins w:id="10098" w:author="Z. Zukowski" w:date="2026-05-22T00:00:00Z">
        <w:r>
          <w:t xml:space="preserve"> </w:t>
        </w:r>
      </w:ins>
      <w:ins w:id="10098" w:author="Z. Zukowski" w:date="2026-05-22T00:00:00Z">
        <w:r>
          <w:t xml:space="preserve">holding HHI (0.025), though this ratio is based on only 10 Snapshot</w:t>
        </w:r>
      </w:ins>
      <w:ins w:id="10098" w:author="Z. Zukowski" w:date="2026-05-22T00:00:00Z">
        <w:r>
          <w:t xml:space="preserve"> </w:t>
        </w:r>
      </w:ins>
      <w:ins w:id="10098" w:author="Z. Zukowski" w:date="2026-05-22T00:00:00Z">
        <w:r>
          <w:t xml:space="preserve">voters and should be interpreted with caution, and WeatherXM’s (0.556)</w:t>
        </w:r>
      </w:ins>
      <w:ins w:id="10098" w:author="Z. Zukowski" w:date="2026-05-22T00:00:00Z">
        <w:r>
          <w:t xml:space="preserve"> </w:t>
        </w:r>
      </w:ins>
      <w:ins w:id="10098" w:author="Z. Zukowski" w:date="2026-05-22T00:00:00Z">
        <w:r>
          <w:t xml:space="preserve">is 3.8 times its holding HHI (0.148). A small number of delegates,</w:t>
        </w:r>
      </w:ins>
      <w:ins w:id="10098" w:author="Z. Zukowski" w:date="2026-05-22T00:00:00Z">
        <w:r>
          <w:t xml:space="preserve"> </w:t>
        </w:r>
      </w:ins>
      <w:ins w:id="10098" w:author="Z. Zukowski" w:date="2026-05-22T00:00:00Z">
        <w:r>
          <w:t xml:space="preserve">likely foundation-affiliated or early-investor wallets, hold</w:t>
        </w:r>
      </w:ins>
      <w:ins w:id="10098" w:author="Z. Zukowski" w:date="2026-05-22T00:00:00Z">
        <w:r>
          <w:t xml:space="preserve"> </w:t>
        </w:r>
      </w:ins>
      <w:ins w:id="10098" w:author="Z. Zukowski" w:date="2026-05-22T00:00:00Z">
        <w:r>
          <w:t xml:space="preserve">concentrated governance power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99" w:author="Z. Zukowski" w:date="2026-05-22T00:00:00Z">
        <w:r>
          <w:rPr>
            <w:b/>
            <w:bCs/>
            <w:i/>
            <w:iCs/>
          </w:rPr>
          <w:t xml:space="preserve">Table 6.</w:t>
        </w:r>
      </w:ins>
      <w:ins w:id="10099" w:author="Z. Zukowski" w:date="2026-05-22T00:00:00Z">
        <w:r>
          <w:rPr>
            <w:i/>
            <w:iCs/>
          </w:rPr>
          <w:t xml:space="preserve"> </w:t>
        </w:r>
      </w:ins>
      <w:ins w:id="10099"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 A full-history robustness companion (Table 6b) reports pooled voting HHI computed over each protocol’s complete same-surface proposal history for the twelve protocols with a same-surface (Snapshot or Tally-delegate) full-history pool; the 12-month and full-history values are comparable and rank-stable (Spearman rho = 0.87), and every amplify-or-disperse classification is preserved.</w:t>
        </w:r>
      </w:ins>
    </w:p>
    <w:p>
      <w:pPr>
        <w:pStyle w:val="BodyText"/>
      </w:pPr>
      <w:ins w:id="10100"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100" w:author="Z. Zukowski" w:date="2026-05-22T00:00:00Z">
        <w:r>
          <w:t xml:space="preserve"> </w:t>
        </w:r>
      </w:ins>
      <w:ins w:id="10100" w:author="Z. Zukowski" w:date="2026-05-22T00:00:00Z">
        <w:r>
          <w:t xml:space="preserve">GMX, and ENS use Tally (EVM-side delegate registry); DIMO, WeatherXM, and</w:t>
        </w:r>
      </w:ins>
      <w:ins w:id="10100" w:author="Z. Zukowski" w:date="2026-05-22T00:00:00Z">
        <w:r>
          <w:t xml:space="preserve"> </w:t>
        </w:r>
      </w:ins>
      <w:ins w:id="10100" w:author="Z. Zukowski" w:date="2026-05-22T00:00:00Z">
        <w:r>
          <w:t xml:space="preserve">Lido use Snapshot (Tally is not deployed for these EVM protocols). JUP,</w:t>
        </w:r>
      </w:ins>
      <w:ins w:id="10100" w:author="Z. Zukowski" w:date="2026-05-22T00:00:00Z">
        <w:r>
          <w:t xml:space="preserve"> </w:t>
        </w:r>
      </w:ins>
      <w:ins w:id="10100" w:author="Z. Zukowski" w:date="2026-05-22T00:00:00Z">
        <w:r>
          <w:t xml:space="preserve">HNT, and DRIFT use Solana on-chain governance program parsing (JUP via</w:t>
        </w:r>
      </w:ins>
      <w:ins w:id="10100" w:author="Z. Zukowski" w:date="2026-05-22T00:00:00Z">
        <w:r>
          <w:t xml:space="preserve"> </w:t>
        </w:r>
      </w:ins>
      <w:ins w:id="10100" w:author="Z. Zukowski" w:date="2026-05-22T00:00:00Z">
        <w:r>
          <w:t xml:space="preserve">Dune</w:t>
        </w:r>
      </w:ins>
      <w:ins w:id="10100" w:author="Z. Zukowski" w:date="2026-05-22T00:00:00Z">
        <w:r>
          <w:t xml:space="preserve"> </w:t>
        </w:r>
      </w:ins>
      <w:ins w:id="10100" w:author="Z. Zukowski" w:date="2026-05-22T00:00:00Z">
        <w:r>
          <w:rPr>
            <w:rStyle w:val="VerbatimChar"/>
          </w:rPr>
          <w:t xml:space="preserve">jupiter_solana.govern_call_setvote</w:t>
        </w:r>
      </w:ins>
      <w:ins w:id="10100" w:author="Z. Zukowski" w:date="2026-05-22T00:00:00Z">
        <w:r>
          <w:t xml:space="preserve"> </w:t>
        </w:r>
      </w:ins>
      <w:ins w:id="10100" w:author="Z. Zukowski" w:date="2026-05-22T00:00:00Z">
        <w:r>
          <w:t xml:space="preserve">decoded namespace with per-signer</w:t>
        </w:r>
      </w:ins>
      <w:ins w:id="10100" w:author="Z. Zukowski" w:date="2026-05-22T00:00:00Z">
        <w:r>
          <w:t xml:space="preserve"> </w:t>
        </w:r>
      </w:ins>
      <w:ins w:id="10100" w:author="Z. Zukowski" w:date="2026-05-22T00:00:00Z">
        <w:r>
          <w:t xml:space="preserve">max-weight aggregation; DRIFT via Helius RPC parsing of SPL Governance</w:t>
        </w:r>
      </w:ins>
      <w:ins w:id="10100" w:author="Z. Zukowski" w:date="2026-05-22T00:00:00Z">
        <w:r>
          <w:t xml:space="preserve"> </w:t>
        </w:r>
      </w:ins>
      <w:ins w:id="10100" w:author="Z. Zukowski" w:date="2026-05-22T00:00:00Z">
        <w:r>
          <w:t xml:space="preserve">VoteRecordV2 accounts and HNT via Helius RPC reconstruction of Voter Stake</w:t>
        </w:r>
      </w:ins>
      <w:ins w:id="10100" w:author="Z. Zukowski" w:date="2026-05-22T00:00:00Z">
        <w:r>
          <w:t xml:space="preserve"> </w:t>
        </w:r>
      </w:ins>
      <w:ins w:id="10100" w:author="Z. Zukowski" w:date="2026-05-22T00:00:00Z">
        <w:r>
          <w:t xml:space="preserve">Registry (VSR) lockup-position state, both VSR-lockup-weighted) because Tally</w:t>
        </w:r>
      </w:ins>
      <w:ins w:id="10100" w:author="Z. Zukowski" w:date="2026-05-22T00:00:00Z">
        <w:r>
          <w:t xml:space="preserve"> </w:t>
        </w:r>
      </w:ins>
      <w:ins w:id="10100" w:author="Z. Zukowski" w:date="2026-05-22T00:00:00Z">
        <w:r>
          <w:t xml:space="preserve">is not deployed for Solana protocols and on-chain governance state is the</w:t>
        </w:r>
      </w:ins>
      <w:ins w:id="10100" w:author="Z. Zukowski" w:date="2026-05-22T00:00:00Z">
        <w:r>
          <w:t xml:space="preserve"> </w:t>
        </w:r>
      </w:ins>
      <w:ins w:id="10100" w:author="Z. Zukowski" w:date="2026-05-22T00:00:00Z">
        <w:r>
          <w:t xml:space="preserve">apples-to-apples comparable surface to Tally’s EVM delegate registries.</w:t>
        </w:r>
      </w:ins>
    </w:p>
    <w:p>
      <w:pPr>
        <w:pStyle w:val="BodyText"/>
      </w:pPr>
      <w:ins w:id="10101" w:author="Z. Zukowski" w:date="2026-05-22T00:00:00Z">
        <w:r>
          <w:t xml:space="preserve">‡ GMX and ENS values from paginated Tally top-100 delegate pulls</w:t>
        </w:r>
      </w:ins>
      <w:ins w:id="10101" w:author="Z. Zukowski" w:date="2026-05-22T00:00:00Z">
        <w:r>
          <w:t xml:space="preserve"> </w:t>
        </w:r>
      </w:ins>
      <w:ins w:id="10101" w:author="Z. Zukowski" w:date="2026-05-22T00:00:00Z">
        <w:r>
          <w:t xml:space="preserve">(May 2026). Snapshot date drift between the March 2026 baseline (used for</w:t>
        </w:r>
      </w:ins>
      <w:ins w:id="10101" w:author="Z. Zukowski" w:date="2026-05-22T00:00:00Z">
        <w:r>
          <w:t xml:space="preserve"> </w:t>
        </w:r>
      </w:ins>
      <w:ins w:id="10101" w:author="Z. Zukowski" w:date="2026-05-22T00:00:00Z">
        <w:r>
          <w:t xml:space="preserve">the eight protocols with March 2026 voting data) and May 2026 (used</w:t>
        </w:r>
      </w:ins>
      <w:ins w:id="10101" w:author="Z. Zukowski" w:date="2026-05-22T00:00:00Z">
        <w:r>
          <w:t xml:space="preserve"> </w:t>
        </w:r>
      </w:ins>
      <w:ins w:id="10101" w:author="Z. Zukowski" w:date="2026-05-22T00:00:00Z">
        <w:r>
          <w:t xml:space="preserve">for GMX and ENS) means rank-ordering across protocols is the durable</w:t>
        </w:r>
      </w:ins>
      <w:ins w:id="10101" w:author="Z. Zukowski" w:date="2026-05-22T00:00:00Z">
        <w:r>
          <w:t xml:space="preserve"> </w:t>
        </w:r>
      </w:ins>
      <w:ins w:id="10101" w:author="Z. Zukowski" w:date="2026-05-22T00:00:00Z">
        <w:r>
          <w:t xml:space="preserve">inferential property, with absolute magnitudes subject to delegate-pool</w:t>
        </w:r>
      </w:ins>
      <w:ins w:id="10101" w:author="Z. Zukowski" w:date="2026-05-22T00:00:00Z">
        <w:r>
          <w:t xml:space="preserve"> </w:t>
        </w:r>
      </w:ins>
      <w:ins w:id="10101" w:author="Z. Zukowski" w:date="2026-05-22T00:00:00Z">
        <w:r>
          <w:t xml:space="preserve">changes over multi-month windows.</w:t>
        </w:r>
      </w:ins>
    </w:p>
    <w:p>
      <w:pPr>
        <w:pStyle w:val="BodyText"/>
      </w:pPr>
      <w:ins w:id="10102" w:author="Z. Zukowski" w:date="2026-05-22T00:00:00Z">
        <w:r>
          <w:t xml:space="preserve">§ Aave voting HHI 0.058 from Tally all-delegates pull (N = 150,911); the</w:t>
        </w:r>
      </w:ins>
      <w:ins w:id="10102" w:author="Z. Zukowski" w:date="2026-05-22T00:00:00Z">
        <w:r>
          <w:t xml:space="preserve"> </w:t>
        </w:r>
      </w:ins>
      <w:ins w:id="10102" w:author="Z. Zukowski" w:date="2026-05-22T00:00:00Z">
        <w:r>
          <w:t xml:space="preserve">all-delegates depth establishes ARB at maximum 437,453-delegate depth as</w:t>
        </w:r>
      </w:ins>
      <w:ins w:id="10102" w:author="Z. Zukowski" w:date="2026-05-22T00:00:00Z">
        <w:r>
          <w:t xml:space="preserve"> </w:t>
        </w:r>
      </w:ins>
      <w:ins w:id="10102" w:author="Z. Zukowski" w:date="2026-05-22T00:00:00Z">
        <w:r>
          <w:t xml:space="preserve">the deepest-N anchor for the methodology-floor sensitivity analysis. Four</w:t>
        </w:r>
      </w:ins>
      <w:ins w:id="10102" w:author="Z. Zukowski" w:date="2026-05-22T00:00:00Z">
        <w:r>
          <w:t xml:space="preserve"> </w:t>
        </w:r>
      </w:ins>
      <w:ins w:id="10102" w:author="Z. Zukowski" w:date="2026-05-22T00:00:00Z">
        <w:r>
          <w:t xml:space="preserve">deeper-N sweeps (AAVE + COMP + UNI + ARB) produce sub-0.005 HHI shifts vs</w:t>
        </w:r>
      </w:ins>
      <w:ins w:id="10102" w:author="Z. Zukowski" w:date="2026-05-22T00:00:00Z">
        <w:r>
          <w:t xml:space="preserve"> </w:t>
        </w:r>
      </w:ins>
      <w:ins w:id="10102" w:author="Z. Zukowski" w:date="2026-05-22T00:00:00Z">
        <w:r>
          <w:t xml:space="preserve">top-1,000 baseline, supporting the top-1,000 methodology floor.</w:t>
        </w:r>
      </w:ins>
    </w:p>
    <w:p>
      <w:pPr>
        <w:pStyle w:val="BodyText"/>
      </w:pPr>
      <w:ins w:id="10103" w:author="Z. Zukowski" w:date="2026-05-22T00:00:00Z">
        <w:r>
          <w:t xml:space="preserve">¶ Solana voting HHI values from on-chain governance program parsing</w:t>
        </w:r>
      </w:ins>
      <w:ins w:id="10103" w:author="Z. Zukowski" w:date="2026-05-22T00:00:00Z">
        <w:r>
          <w:t xml:space="preserve"> </w:t>
        </w:r>
      </w:ins>
      <w:ins w:id="10103" w:author="Z. Zukowski" w:date="2026-05-22T00:00:00Z">
        <w:r>
          <w:t xml:space="preserve">via Helius RPC and Dune decoded namespace: JUP via</w:t>
        </w:r>
      </w:ins>
      <w:ins w:id="10103" w:author="Z. Zukowski" w:date="2026-05-22T00:00:00Z">
        <w:r>
          <w:t xml:space="preserve"> </w:t>
        </w:r>
      </w:ins>
      <w:ins w:id="10103" w:author="Z. Zukowski" w:date="2026-05-22T00:00:00Z">
        <w:r>
          <w:rPr>
            <w:rStyle w:val="VerbatimChar"/>
          </w:rPr>
          <w:t xml:space="preserve">jupiter_solana.govern_call_setvote</w:t>
        </w:r>
      </w:ins>
      <w:ins w:id="10103" w:author="Z. Zukowski" w:date="2026-05-22T00:00:00Z">
        <w:r>
          <w:t xml:space="preserve"> </w:t>
        </w:r>
      </w:ins>
      <w:ins w:id="10103" w:author="Z. Zukowski" w:date="2026-05-22T00:00:00Z">
        <w:r>
          <w:t xml:space="preserve">(per-signer max(weight) aggregation; delegated-vote design; each token</w:t>
        </w:r>
      </w:ins>
      <w:ins w:id="10103" w:author="Z. Zukowski" w:date="2026-05-22T00:00:00Z">
        <w:r>
          <w:t xml:space="preserve"> </w:t>
        </w:r>
      </w:ins>
      <w:ins w:id="10103" w:author="Z. Zukowski" w:date="2026-05-22T00:00:00Z">
        <w:r>
          <w:t xml:space="preserve">equals one vote); HNT and DRIFT via Voter Stake Registry (VSR)</w:t>
        </w:r>
      </w:ins>
      <w:ins w:id="10103" w:author="Z. Zukowski" w:date="2026-05-22T00:00:00Z">
        <w:r>
          <w:t xml:space="preserve"> </w:t>
        </w:r>
      </w:ins>
      <w:ins w:id="10103" w:author="Z. Zukowski" w:date="2026-05-22T00:00:00Z">
        <w:r>
          <w:t xml:space="preserve">lockup-weighted vote design where vote weight is locked-amount</w:t>
        </w:r>
      </w:ins>
      <w:ins w:id="10103" w:author="Z. Zukowski" w:date="2026-05-22T00:00:00Z">
        <w:r>
          <w:t xml:space="preserve"> </w:t>
        </w:r>
      </w:ins>
      <w:ins w:id="10103" w:author="Z. Zukowski" w:date="2026-05-22T00:00:00Z">
        <w:r>
          <w:t xml:space="preserve">multiplied by lockup-duration multiplier (HNT VSR saturates at four-year</w:t>
        </w:r>
      </w:ins>
      <w:ins w:id="10103" w:author="Z. Zukowski" w:date="2026-05-22T00:00:00Z">
        <w:r>
          <w:t xml:space="preserve"> </w:t>
        </w:r>
      </w:ins>
      <w:ins w:id="10103" w:author="Z. Zukowski" w:date="2026-05-22T00:00:00Z">
        <w:r>
          <w:t xml:space="preserve">lockup; DRIFT VSR uses analogous lockup multiplier; both classified as</w:t>
        </w:r>
      </w:ins>
      <w:ins w:id="10103" w:author="Z. Zukowski" w:date="2026-05-22T00:00:00Z">
        <w:r>
          <w:t xml:space="preserve"> </w:t>
        </w:r>
      </w:ins>
      <w:ins w:id="10103" w:author="Z. Zukowski" w:date="2026-05-22T00:00:00Z">
        <w:r>
          <w:t xml:space="preserve">VSR-lockup-weighted). HNT presented as</w:t>
        </w:r>
      </w:ins>
      <w:ins w:id="10103" w:author="Z. Zukowski" w:date="2026-05-22T00:00:00Z">
        <w:r>
          <w:t xml:space="preserve"> </w:t>
        </w:r>
      </w:ins>
      <w:ins w:id="10103" w:author="Z. Zukowski" w:date="2026-05-22T00:00:00Z">
        <w:r>
          <w:t xml:space="preserve">sensitivity range under VSR position-state reconstruction with 14.8</w:t>
        </w:r>
      </w:ins>
      <w:ins w:id="10103" w:author="Z. Zukowski" w:date="2026-05-22T00:00:00Z">
        <w:r>
          <w:t xml:space="preserve"> </w:t>
        </w:r>
      </w:ins>
      <w:ins w:id="10103" w:author="Z. Zukowski" w:date="2026-05-22T00:00:00Z">
        <w:r>
          <w:t xml:space="preserve">percent closed-position rate bracketing the bounds. The within-Solana</w:t>
        </w:r>
      </w:ins>
      <w:ins w:id="10103" w:author="Z. Zukowski" w:date="2026-05-22T00:00:00Z">
        <w:r>
          <w:t xml:space="preserve"> </w:t>
        </w:r>
      </w:ins>
      <w:ins w:id="10103" w:author="Z. Zukowski" w:date="2026-05-22T00:00:00Z">
        <w:r>
          <w:t xml:space="preserve">sample (N=3) is discussed in Section 4.5.4 within-Solana governance</w:t>
        </w:r>
      </w:ins>
      <w:ins w:id="10103" w:author="Z. Zukowski" w:date="2026-05-22T00:00:00Z">
        <w:r>
          <w:t xml:space="preserve"> </w:t>
        </w:r>
      </w:ins>
      <w:ins w:id="10103" w:author="Z. Zukowski" w:date="2026-05-22T00:00:00Z">
        <w:r>
          <w:t xml:space="preserve">heterogeneity subsection; JUP at 0.12x ratio is the most-extreme</w:t>
        </w:r>
      </w:ins>
      <w:ins w:id="10103" w:author="Z. Zukowski" w:date="2026-05-22T00:00:00Z">
        <w:r>
          <w:t xml:space="preserve"> </w:t>
        </w:r>
      </w:ins>
      <w:ins w:id="10103" w:author="Z. Zukowski" w:date="2026-05-22T00:00:00Z">
        <w:r>
          <w:t xml:space="preserve">dispersion outlier in the cross-section.</w:t>
        </w:r>
      </w:ins>
    </w:p>
    <w:tbl>
      <w:tblPr>
        <w:tblStyle w:val="Table"/>
        <w:tblW w:type="pct" w:w="5000"/>
        <w:tblLayout w:type="fixed"/>
        <w:tblLook w:firstRow="1" w:lastRow="0" w:firstColumn="0" w:lastColumn="0" w:noHBand="0" w:noVBand="0" w:val="0020"/>
      </w:tblPr>
      <w:tblGrid>
        <w:gridCol w:w="1714"/>
        <w:gridCol w:w="1306"/>
        <w:gridCol w:w="1306"/>
        <w:gridCol w:w="1143"/>
        <w:gridCol w:w="1224"/>
        <w:gridCol w:w="1224"/>
      </w:tblGrid>
      <w:tr>
        <w:trPr>
          <w:tblHeader w:val="on"/>
        </w:trPr>
        <w:tc>
          <w:tcPr/>
          <w:p>
            <w:pPr>
              <w:pStyle w:val="Compact"/>
            </w:pPr>
            <w:r>
              <w:t xml:space="preserve">Protocol</w:t>
            </w:r>
          </w:p>
        </w:tc>
        <w:tc>
          <w:tcPr/>
          <w:p>
            <w:pPr>
              <w:pStyle w:val="Compact"/>
            </w:pPr>
            <w:r>
              <w:t xml:space="preserve">Surface</w:t>
            </w:r>
          </w:p>
        </w:tc>
        <w:tc>
          <w:tcPr/>
          <w:p>
            <w:pPr>
              <w:pStyle w:val="Compact"/>
              <w:jc w:val="right"/>
            </w:pPr>
            <w:r>
              <w:t xml:space="preserve">12mo voting HHI</w:t>
            </w:r>
          </w:p>
        </w:tc>
        <w:tc>
          <w:tcPr/>
          <w:p>
            <w:pPr>
              <w:pStyle w:val="Compact"/>
              <w:jc w:val="right"/>
            </w:pPr>
            <w:r>
              <w:t xml:space="preserve">Full-history voting HHI</w:t>
            </w:r>
          </w:p>
        </w:tc>
        <w:tc>
          <w:tcPr/>
          <w:p>
            <w:pPr>
              <w:pStyle w:val="Compact"/>
              <w:jc w:val="right"/>
            </w:pPr>
            <w:r>
              <w:t xml:space="preserve">n proposals</w:t>
            </w:r>
          </w:p>
        </w:tc>
        <w:tc>
          <w:tcPr/>
          <w:p>
            <w:pPr>
              <w:pStyle w:val="Compact"/>
            </w:pPr>
            <w:r>
              <w:t xml:space="preserve">Date span</w:t>
            </w:r>
          </w:p>
        </w:tc>
      </w:tr>
      <w:tr>
        <w:tc>
          <w:tcPr/>
          <w:p>
            <w:pPr>
              <w:pStyle w:val="Compact"/>
            </w:pPr>
            <w:r>
              <w:t xml:space="preserve">DIMO</w:t>
            </w:r>
          </w:p>
        </w:tc>
        <w:tc>
          <w:tcPr/>
          <w:p>
            <w:pPr>
              <w:pStyle w:val="Compact"/>
            </w:pPr>
            <w:r>
              <w:t xml:space="preserve">Snapshot</w:t>
            </w:r>
          </w:p>
        </w:tc>
        <w:tc>
          <w:tcPr/>
          <w:p>
            <w:pPr>
              <w:pStyle w:val="Compact"/>
              <w:jc w:val="right"/>
            </w:pPr>
            <w:r>
              <w:t xml:space="preserve">0.228</w:t>
            </w:r>
          </w:p>
        </w:tc>
        <w:tc>
          <w:tcPr/>
          <w:p>
            <w:pPr>
              <w:pStyle w:val="Compact"/>
              <w:jc w:val="right"/>
            </w:pPr>
            <w:r>
              <w:t xml:space="preserve">0.1428</w:t>
            </w:r>
          </w:p>
        </w:tc>
        <w:tc>
          <w:tcPr/>
          <w:p>
            <w:pPr>
              <w:pStyle w:val="Compact"/>
              <w:jc w:val="right"/>
            </w:pPr>
            <w:r>
              <w:t xml:space="preserve">27</w:t>
            </w:r>
          </w:p>
        </w:tc>
        <w:tc>
          <w:tcPr/>
          <w:p>
            <w:pPr>
              <w:pStyle w:val="Compact"/>
            </w:pPr>
            <w:r>
              <w:t xml:space="preserve">2023-01 to 2025-08</w:t>
            </w:r>
          </w:p>
        </w:tc>
      </w:tr>
      <w:tr>
        <w:tc>
          <w:tcPr/>
          <w:p>
            <w:pPr>
              <w:pStyle w:val="Compact"/>
            </w:pPr>
            <w:r>
              <w:t xml:space="preserve">Lido</w:t>
            </w:r>
          </w:p>
        </w:tc>
        <w:tc>
          <w:tcPr/>
          <w:p>
            <w:pPr>
              <w:pStyle w:val="Compact"/>
            </w:pPr>
            <w:r>
              <w:t xml:space="preserve">Snapshot</w:t>
            </w:r>
          </w:p>
        </w:tc>
        <w:tc>
          <w:tcPr/>
          <w:p>
            <w:pPr>
              <w:pStyle w:val="Compact"/>
              <w:jc w:val="right"/>
            </w:pPr>
            <w:r>
              <w:t xml:space="preserve">0.050</w:t>
            </w:r>
          </w:p>
        </w:tc>
        <w:tc>
          <w:tcPr/>
          <w:p>
            <w:pPr>
              <w:pStyle w:val="Compact"/>
              <w:jc w:val="right"/>
            </w:pPr>
            <w:r>
              <w:t xml:space="preserve">0.0193</w:t>
            </w:r>
          </w:p>
        </w:tc>
        <w:tc>
          <w:tcPr/>
          <w:p>
            <w:pPr>
              <w:pStyle w:val="Compact"/>
              <w:jc w:val="right"/>
            </w:pPr>
            <w:r>
              <w:t xml:space="preserve">411</w:t>
            </w:r>
          </w:p>
        </w:tc>
        <w:tc>
          <w:tcPr/>
          <w:p>
            <w:pPr>
              <w:pStyle w:val="Compact"/>
            </w:pPr>
            <w:r>
              <w:t xml:space="preserve">2021-02 to 2026-05</w:t>
            </w:r>
          </w:p>
        </w:tc>
      </w:tr>
      <w:tr>
        <w:tc>
          <w:tcPr/>
          <w:p>
            <w:pPr>
              <w:pStyle w:val="Compact"/>
            </w:pPr>
            <w:r>
              <w:t xml:space="preserve">WeatherXM</w:t>
            </w:r>
          </w:p>
        </w:tc>
        <w:tc>
          <w:tcPr/>
          <w:p>
            <w:pPr>
              <w:pStyle w:val="Compact"/>
            </w:pPr>
            <w:r>
              <w:t xml:space="preserve">Snapshot</w:t>
            </w:r>
          </w:p>
        </w:tc>
        <w:tc>
          <w:tcPr/>
          <w:p>
            <w:pPr>
              <w:pStyle w:val="Compact"/>
              <w:jc w:val="right"/>
            </w:pPr>
            <w:r>
              <w:t xml:space="preserve">0.556</w:t>
            </w:r>
          </w:p>
        </w:tc>
        <w:tc>
          <w:tcPr/>
          <w:p>
            <w:pPr>
              <w:pStyle w:val="Compact"/>
              <w:jc w:val="right"/>
            </w:pPr>
            <w:r>
              <w:t xml:space="preserve">0.4798</w:t>
            </w:r>
          </w:p>
        </w:tc>
        <w:tc>
          <w:tcPr/>
          <w:p>
            <w:pPr>
              <w:pStyle w:val="Compact"/>
              <w:jc w:val="right"/>
            </w:pPr>
            <w:r>
              <w:t xml:space="preserve">4</w:t>
            </w:r>
          </w:p>
        </w:tc>
        <w:tc>
          <w:tcPr/>
          <w:p>
            <w:pPr>
              <w:pStyle w:val="Compact"/>
            </w:pPr>
            <w:r>
              <w:t xml:space="preserve">2025-04 to 2026-02</w:t>
            </w:r>
          </w:p>
        </w:tc>
      </w:tr>
      <w:tr>
        <w:tc>
          <w:tcPr/>
          <w:p>
            <w:pPr>
              <w:pStyle w:val="Compact"/>
            </w:pPr>
            <w:r>
              <w:t xml:space="preserve">Compound</w:t>
            </w:r>
          </w:p>
        </w:tc>
        <w:tc>
          <w:tcPr/>
          <w:p>
            <w:pPr>
              <w:pStyle w:val="Compact"/>
            </w:pPr>
            <w:r>
              <w:t xml:space="preserve">Snapshot</w:t>
            </w:r>
          </w:p>
        </w:tc>
        <w:tc>
          <w:tcPr/>
          <w:p>
            <w:pPr>
              <w:pStyle w:val="Compact"/>
              <w:jc w:val="right"/>
            </w:pPr>
            <w:r>
              <w:t xml:space="preserve">0.089</w:t>
            </w:r>
          </w:p>
        </w:tc>
        <w:tc>
          <w:tcPr/>
          <w:p>
            <w:pPr>
              <w:pStyle w:val="Compact"/>
              <w:jc w:val="right"/>
            </w:pPr>
            <w:r>
              <w:t xml:space="preserve">0.0813</w:t>
            </w:r>
          </w:p>
        </w:tc>
        <w:tc>
          <w:tcPr/>
          <w:p>
            <w:pPr>
              <w:pStyle w:val="Compact"/>
              <w:jc w:val="right"/>
            </w:pPr>
            <w:r>
              <w:t xml:space="preserve">36</w:t>
            </w:r>
          </w:p>
        </w:tc>
        <w:tc>
          <w:tcPr/>
          <w:p>
            <w:pPr>
              <w:pStyle w:val="Compact"/>
            </w:pPr>
            <w:r>
              <w:t xml:space="preserve">2021-06 to 2026-05</w:t>
            </w:r>
          </w:p>
        </w:tc>
      </w:tr>
      <w:tr>
        <w:tc>
          <w:tcPr/>
          <w:p>
            <w:pPr>
              <w:pStyle w:val="Compact"/>
            </w:pPr>
            <w:r>
              <w:t xml:space="preserve">Arbitrum</w:t>
            </w:r>
          </w:p>
        </w:tc>
        <w:tc>
          <w:tcPr/>
          <w:p>
            <w:pPr>
              <w:pStyle w:val="Compact"/>
            </w:pPr>
            <w:r>
              <w:t xml:space="preserve">Snapshot</w:t>
            </w:r>
          </w:p>
        </w:tc>
        <w:tc>
          <w:tcPr/>
          <w:p>
            <w:pPr>
              <w:pStyle w:val="Compact"/>
              <w:jc w:val="right"/>
            </w:pPr>
            <w:r>
              <w:t xml:space="preserve">0.038</w:t>
            </w:r>
          </w:p>
        </w:tc>
        <w:tc>
          <w:tcPr/>
          <w:p>
            <w:pPr>
              <w:pStyle w:val="Compact"/>
              <w:jc w:val="right"/>
            </w:pPr>
            <w:r>
              <w:t xml:space="preserve">0.0187</w:t>
            </w:r>
          </w:p>
        </w:tc>
        <w:tc>
          <w:tcPr/>
          <w:p>
            <w:pPr>
              <w:pStyle w:val="Compact"/>
              <w:jc w:val="right"/>
            </w:pPr>
            <w:r>
              <w:t xml:space="preserve">406</w:t>
            </w:r>
          </w:p>
        </w:tc>
        <w:tc>
          <w:tcPr/>
          <w:p>
            <w:pPr>
              <w:pStyle w:val="Compact"/>
            </w:pPr>
            <w:r>
              <w:t xml:space="preserve">2023-03 to 2026-04</w:t>
            </w:r>
          </w:p>
        </w:tc>
      </w:tr>
      <w:tr>
        <w:tc>
          <w:tcPr/>
          <w:p>
            <w:pPr>
              <w:pStyle w:val="Compact"/>
            </w:pPr>
            <w:r>
              <w:t xml:space="preserve">Gnosis</w:t>
            </w:r>
          </w:p>
        </w:tc>
        <w:tc>
          <w:tcPr/>
          <w:p>
            <w:pPr>
              <w:pStyle w:val="Compact"/>
            </w:pPr>
            <w:r>
              <w:t xml:space="preserve">Snapshot</w:t>
            </w:r>
          </w:p>
        </w:tc>
        <w:tc>
          <w:tcPr/>
          <w:p>
            <w:pPr>
              <w:pStyle w:val="Compact"/>
              <w:jc w:val="right"/>
            </w:pPr>
            <w:r>
              <w:t xml:space="preserve">0.104</w:t>
            </w:r>
          </w:p>
        </w:tc>
        <w:tc>
          <w:tcPr/>
          <w:p>
            <w:pPr>
              <w:pStyle w:val="Compact"/>
              <w:jc w:val="right"/>
            </w:pPr>
            <w:r>
              <w:t xml:space="preserve">0.1090</w:t>
            </w:r>
          </w:p>
        </w:tc>
        <w:tc>
          <w:tcPr/>
          <w:p>
            <w:pPr>
              <w:pStyle w:val="Compact"/>
              <w:jc w:val="right"/>
            </w:pPr>
            <w:r>
              <w:t xml:space="preserve">252</w:t>
            </w:r>
          </w:p>
        </w:tc>
        <w:tc>
          <w:tcPr/>
          <w:p>
            <w:pPr>
              <w:pStyle w:val="Compact"/>
            </w:pPr>
            <w:r>
              <w:t xml:space="preserve">2020-11 to 2026-05</w:t>
            </w:r>
          </w:p>
        </w:tc>
      </w:tr>
      <w:tr>
        <w:tc>
          <w:tcPr/>
          <w:p>
            <w:pPr>
              <w:pStyle w:val="Compact"/>
            </w:pPr>
            <w:r>
              <w:t xml:space="preserve">Synthetix</w:t>
            </w:r>
          </w:p>
        </w:tc>
        <w:tc>
          <w:tcPr/>
          <w:p>
            <w:pPr>
              <w:pStyle w:val="Compact"/>
            </w:pPr>
            <w:r>
              <w:t xml:space="preserve">Snapshot</w:t>
            </w:r>
          </w:p>
        </w:tc>
        <w:tc>
          <w:tcPr/>
          <w:p>
            <w:pPr>
              <w:pStyle w:val="Compact"/>
              <w:jc w:val="right"/>
            </w:pPr>
            <w:r>
              <w:t xml:space="preserve">0.095</w:t>
            </w:r>
          </w:p>
        </w:tc>
        <w:tc>
          <w:tcPr/>
          <w:p>
            <w:pPr>
              <w:pStyle w:val="Compact"/>
              <w:jc w:val="right"/>
            </w:pPr>
            <w:r>
              <w:t xml:space="preserve">0.1621</w:t>
            </w:r>
          </w:p>
        </w:tc>
        <w:tc>
          <w:tcPr/>
          <w:p>
            <w:pPr>
              <w:pStyle w:val="Compact"/>
              <w:jc w:val="right"/>
            </w:pPr>
            <w:r>
              <w:t xml:space="preserve">969</w:t>
            </w:r>
          </w:p>
        </w:tc>
        <w:tc>
          <w:tcPr/>
          <w:p>
            <w:pPr>
              <w:pStyle w:val="Compact"/>
            </w:pPr>
            <w:r>
              <w:t xml:space="preserve">2020-12 to 2025-05</w:t>
            </w:r>
          </w:p>
        </w:tc>
      </w:tr>
      <w:tr>
        <w:tc>
          <w:tcPr/>
          <w:p>
            <w:pPr>
              <w:pStyle w:val="Compact"/>
            </w:pPr>
            <w:r>
              <w:t xml:space="preserve">Aave</w:t>
            </w:r>
          </w:p>
        </w:tc>
        <w:tc>
          <w:tcPr/>
          <w:p>
            <w:pPr>
              <w:pStyle w:val="Compact"/>
            </w:pPr>
            <w:r>
              <w:t xml:space="preserve">Tally delegate</w:t>
            </w:r>
          </w:p>
        </w:tc>
        <w:tc>
          <w:tcPr/>
          <w:p>
            <w:pPr>
              <w:pStyle w:val="Compact"/>
              <w:jc w:val="right"/>
            </w:pPr>
            <w:r>
              <w:t xml:space="preserve">0.058</w:t>
            </w:r>
          </w:p>
        </w:tc>
        <w:tc>
          <w:tcPr/>
          <w:p>
            <w:pPr>
              <w:pStyle w:val="Compact"/>
              <w:jc w:val="right"/>
            </w:pPr>
            <w:r>
              <w:t xml:space="preserve">0.0620</w:t>
            </w:r>
          </w:p>
        </w:tc>
        <w:tc>
          <w:tcPr/>
          <w:p>
            <w:pPr>
              <w:pStyle w:val="Compact"/>
              <w:jc w:val="right"/>
            </w:pPr>
            <w:r>
              <w:t xml:space="preserve">401</w:t>
            </w:r>
          </w:p>
        </w:tc>
        <w:tc>
          <w:tcPr/>
          <w:p>
            <w:pPr>
              <w:pStyle w:val="Compact"/>
            </w:pPr>
            <w:r>
              <w:t xml:space="preserve">2023-08 to 2023-12</w:t>
            </w:r>
          </w:p>
        </w:tc>
      </w:tr>
      <w:tr>
        <w:tc>
          <w:tcPr/>
          <w:p>
            <w:pPr>
              <w:pStyle w:val="Compact"/>
            </w:pPr>
            <w:r>
              <w:t xml:space="preserve">Uniswap</w:t>
            </w:r>
          </w:p>
        </w:tc>
        <w:tc>
          <w:tcPr/>
          <w:p>
            <w:pPr>
              <w:pStyle w:val="Compact"/>
            </w:pPr>
            <w:r>
              <w:t xml:space="preserve">Tally delegate</w:t>
            </w:r>
          </w:p>
        </w:tc>
        <w:tc>
          <w:tcPr/>
          <w:p>
            <w:pPr>
              <w:pStyle w:val="Compact"/>
              <w:jc w:val="right"/>
            </w:pPr>
            <w:r>
              <w:t xml:space="preserve">0.027</w:t>
            </w:r>
          </w:p>
        </w:tc>
        <w:tc>
          <w:tcPr/>
          <w:p>
            <w:pPr>
              <w:pStyle w:val="Compact"/>
              <w:jc w:val="right"/>
            </w:pPr>
            <w:r>
              <w:t xml:space="preserve">0.0268</w:t>
            </w:r>
          </w:p>
        </w:tc>
        <w:tc>
          <w:tcPr/>
          <w:p>
            <w:pPr>
              <w:pStyle w:val="Compact"/>
              <w:jc w:val="right"/>
            </w:pPr>
            <w:r>
              <w:t xml:space="preserve">90</w:t>
            </w:r>
          </w:p>
        </w:tc>
        <w:tc>
          <w:tcPr/>
          <w:p>
            <w:pPr>
              <w:pStyle w:val="Compact"/>
            </w:pPr>
            <w:r>
              <w:t xml:space="preserve">2022-03 to 2026-05</w:t>
            </w:r>
          </w:p>
        </w:tc>
      </w:tr>
      <w:tr>
        <w:tc>
          <w:tcPr/>
          <w:p>
            <w:pPr>
              <w:pStyle w:val="Compact"/>
            </w:pPr>
            <w:r>
              <w:t xml:space="preserve">Optimism</w:t>
            </w:r>
          </w:p>
        </w:tc>
        <w:tc>
          <w:tcPr/>
          <w:p>
            <w:pPr>
              <w:pStyle w:val="Compact"/>
            </w:pPr>
            <w:r>
              <w:t xml:space="preserve">Tally delegate</w:t>
            </w:r>
          </w:p>
        </w:tc>
        <w:tc>
          <w:tcPr/>
          <w:p>
            <w:pPr>
              <w:pStyle w:val="Compact"/>
              <w:jc w:val="right"/>
            </w:pPr>
            <w:r>
              <w:t xml:space="preserve">0.033</w:t>
            </w:r>
          </w:p>
        </w:tc>
        <w:tc>
          <w:tcPr/>
          <w:p>
            <w:pPr>
              <w:pStyle w:val="Compact"/>
              <w:jc w:val="right"/>
            </w:pPr>
            <w:r>
              <w:t xml:space="preserve">0.0327</w:t>
            </w:r>
          </w:p>
        </w:tc>
        <w:tc>
          <w:tcPr/>
          <w:p>
            <w:pPr>
              <w:pStyle w:val="Compact"/>
              <w:jc w:val="right"/>
            </w:pPr>
            <w:r>
              <w:t xml:space="preserve">25</w:t>
            </w:r>
          </w:p>
        </w:tc>
        <w:tc>
          <w:tcPr/>
          <w:p>
            <w:pPr>
              <w:pStyle w:val="Compact"/>
            </w:pPr>
            <w:r>
              <w:t xml:space="preserve">2023-02 to 2024-05</w:t>
            </w:r>
          </w:p>
        </w:tc>
      </w:tr>
      <w:tr>
        <w:tc>
          <w:tcPr/>
          <w:p>
            <w:pPr>
              <w:pStyle w:val="Compact"/>
            </w:pPr>
            <w:r>
              <w:t xml:space="preserve">GMX</w:t>
            </w:r>
          </w:p>
        </w:tc>
        <w:tc>
          <w:tcPr/>
          <w:p>
            <w:pPr>
              <w:pStyle w:val="Compact"/>
            </w:pPr>
            <w:r>
              <w:t xml:space="preserve">Tally delegate</w:t>
            </w:r>
          </w:p>
        </w:tc>
        <w:tc>
          <w:tcPr/>
          <w:p>
            <w:pPr>
              <w:pStyle w:val="Compact"/>
              <w:jc w:val="right"/>
            </w:pPr>
            <w:r>
              <w:t xml:space="preserve">0.057</w:t>
            </w:r>
          </w:p>
        </w:tc>
        <w:tc>
          <w:tcPr/>
          <w:p>
            <w:pPr>
              <w:pStyle w:val="Compact"/>
              <w:jc w:val="right"/>
            </w:pPr>
            <w:r>
              <w:t xml:space="preserve">0.0565</w:t>
            </w:r>
          </w:p>
        </w:tc>
        <w:tc>
          <w:tcPr/>
          <w:p>
            <w:pPr>
              <w:pStyle w:val="Compact"/>
              <w:jc w:val="right"/>
            </w:pPr>
            <w:r>
              <w:t xml:space="preserve">20</w:t>
            </w:r>
          </w:p>
        </w:tc>
        <w:tc>
          <w:tcPr/>
          <w:p>
            <w:pPr>
              <w:pStyle w:val="Compact"/>
            </w:pPr>
            <w:r>
              <w:t xml:space="preserve">2024-07 to 2026-03</w:t>
            </w:r>
          </w:p>
        </w:tc>
      </w:tr>
      <w:tr>
        <w:tc>
          <w:tcPr/>
          <w:p>
            <w:pPr>
              <w:pStyle w:val="Compact"/>
            </w:pPr>
            <w:r>
              <w:t xml:space="preserve">ENS</w:t>
            </w:r>
          </w:p>
        </w:tc>
        <w:tc>
          <w:tcPr/>
          <w:p>
            <w:pPr>
              <w:pStyle w:val="Compact"/>
            </w:pPr>
            <w:r>
              <w:t xml:space="preserve">Tally delegate</w:t>
            </w:r>
          </w:p>
        </w:tc>
        <w:tc>
          <w:tcPr/>
          <w:p>
            <w:pPr>
              <w:pStyle w:val="Compact"/>
              <w:jc w:val="right"/>
            </w:pPr>
            <w:r>
              <w:t xml:space="preserve">0.022</w:t>
            </w:r>
          </w:p>
        </w:tc>
        <w:tc>
          <w:tcPr/>
          <w:p>
            <w:pPr>
              <w:pStyle w:val="Compact"/>
              <w:jc w:val="right"/>
            </w:pPr>
            <w:r>
              <w:t xml:space="preserve">0.0225</w:t>
            </w:r>
          </w:p>
        </w:tc>
        <w:tc>
          <w:tcPr/>
          <w:p>
            <w:pPr>
              <w:pStyle w:val="Compact"/>
              <w:jc w:val="right"/>
            </w:pPr>
            <w:r>
              <w:t xml:space="preserve">69</w:t>
            </w:r>
          </w:p>
        </w:tc>
        <w:tc>
          <w:tcPr/>
          <w:p>
            <w:pPr>
              <w:pStyle w:val="Compact"/>
            </w:pPr>
            <w:r>
              <w:t xml:space="preserve">2022-03 to 2026-04</w:t>
            </w:r>
          </w:p>
        </w:tc>
      </w:tr>
    </w:tbl>
    <w:p>
      <w:pPr>
        <w:pStyle w:val="BodyText"/>
      </w:pPr>
      <w:ins w:id="10104" w:author="Z. Zukowski" w:date="2026-05-22T00:00:00Z">
        <w:r>
          <w:rPr>
            <w:b/>
            <w:bCs/>
            <w:i/>
            <w:iCs/>
          </w:rPr>
          <w:t xml:space="preserve">Table 6b.</w:t>
        </w:r>
      </w:ins>
      <w:ins w:id="10104" w:author="Z. Zukowski" w:date="2026-05-22T00:00:00Z">
        <w:r>
          <w:rPr>
            <w:i/>
            <w:iCs/>
          </w:rPr>
          <w:t xml:space="preserve"> </w:t>
        </w:r>
      </w:ins>
      <w:ins w:id="10104" w:author="Z. Zukowski" w:date="2026-05-22T00:00:00Z">
        <w:r>
          <w:rPr>
            <w:i/>
            <w:iCs/>
          </w:rPr>
          <w:t xml:space="preserve">Full-history voting-HHI robustness. For the twelve Table 6 protocols with a same-surface full-history pooled voting HHI, the 12-month window value (Table 6) is shown alongside the pooled value computed over the protocol’s complete same-surface proposal history. Snapshot rows pool all proposals in the protocol’s Snapshot space; Tally rows pool the top-1,000 delegate registry. Same surface means the full-history pool uses the identical governance venue (Snapshot vote-weighted or Tally delegate registry) that Table 6 sources for that protocol. The Spearman rank correlation between the two columns is 0.87 (n = 12); no protocol crosses the 1.0x amplify-or-disperse boundary under the full-history value, so every Table 6 classification is preserved.</w:t>
        </w:r>
      </w:ins>
    </w:p>
    <w:p>
      <w:pPr>
        <w:pStyle w:val="BodyText"/>
      </w:pPr>
      <w:ins w:id="10105" w:author="Z. Zukowski" w:date="2026-05-22T00:00:00Z">
        <w:r>
          <w:t xml:space="preserve">Across the twelve, mean absolute change is 0.025 and median absolute change is 0.006; seven of twelve land within 0.010 of the 12-month value. Eight of twelve full-history values are lower than the 12-month value (full-history pooling dilutes recent concentration spikes); the two largest moves are DIMO (0.228 to 0.1428, the concentrated ten-voter 12-month window diluted across 27 proposals) and Synthetix (0.095 to 0.1621, where the 969-proposal 2020 to 2025 history is more concentrated than the small-N 30-voter council-election 12-month window). Rank ordering is broadly preserved (Spearman rho = 0.87) with two notable reorderings: Arbitrum becomes the lowest-concentration protocol under its full-history value (0.0187), and Synthetix rises. The Aave full-history figure uses the top-1,000 Tally delegate pool rather than the all-delegates depth (N = 150,911) of the Table 6 12-month value, so it is an approximate same-surface analog rather than an identical-depth comparison. The six remaining Table 6 protocols have no same-surface full-history pool: the three Solana protocols (DRIFT, HNT, JUP) source from Solana on-chain governance, a surface not covered by the Snapshot-or-Tally pooled dataset, and the three structurally point-in-time protocols (Bittensor via Taostats validator stake, Polkadot via Subscan conviction-weighted referenda pooled over 20 decided, Livepeer via orchestrator bonded-stake subgraph) have no time-pooled construction; all six retain their Table 6 12-month classification.</w:t>
        </w:r>
      </w:ins>
    </w:p>
    <w:p>
      <w:pPr>
        <w:pStyle w:val="BodyText"/>
      </w:pPr>
      <w:r>
        <w:drawing>
          <wp:inline>
            <wp:extent cx="5334000" cy="3008353"/>
            <wp:effectExtent b="0" l="0" r="0" t="0"/>
            <wp:docPr descr="" title="" id="66" name="Picture"/>
            <a:graphic>
              <a:graphicData uri="http://schemas.openxmlformats.org/drawingml/2006/picture">
                <pic:pic>
                  <pic:nvPicPr>
                    <pic:cNvPr descr="media/exhibit_delegation_adjusted.png" id="67" name="Picture"/>
                    <pic:cNvPicPr>
                      <a:picLocks noChangeArrowheads="1" noChangeAspect="1"/>
                    </pic:cNvPicPr>
                  </pic:nvPicPr>
                  <pic:blipFill>
                    <a:blip r:embed="rId65"/>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106" w:author="Z. Zukowski" w:date="2026-05-22T00:00:00Z">
        <w:r>
          <w:rPr>
            <w:b/>
            <w:bCs/>
            <w:i/>
            <w:iCs/>
          </w:rPr>
          <w:t xml:space="preserve">Figure 4.</w:t>
        </w:r>
      </w:ins>
      <w:ins w:id="10106" w:author="Z. Zukowski" w:date="2026-05-22T00:00:00Z">
        <w:r>
          <w:rPr>
            <w:i/>
            <w:iCs/>
          </w:rPr>
          <w:t xml:space="preserve"> </w:t>
        </w:r>
      </w:ins>
      <w:ins w:id="10106" w:author="Z. Zukowski" w:date="2026-05-22T00:00:00Z">
        <w:r>
          <w:rPr>
            <w:i/>
            <w:iCs/>
          </w:rPr>
          <w:t xml:space="preserve">Raw holding HHI (lower bar) vs. delegation-adjusted</w:t>
        </w:r>
      </w:ins>
      <w:ins w:id="10106" w:author="Z. Zukowski" w:date="2026-05-22T00:00:00Z">
        <w:r>
          <w:rPr>
            <w:i/>
            <w:iCs/>
          </w:rPr>
          <w:t xml:space="preserve"> </w:t>
        </w:r>
      </w:ins>
      <w:ins w:id="10106" w:author="Z. Zukowski" w:date="2026-05-22T00:00:00Z">
        <w:r>
          <w:rPr>
            <w:i/>
            <w:iCs/>
          </w:rPr>
          <w:t xml:space="preserve">voting HHI (upper bar) for the eighteen protocols with sufficient</w:t>
        </w:r>
      </w:ins>
      <w:ins w:id="10106" w:author="Z. Zukowski" w:date="2026-05-22T00:00:00Z">
        <w:r>
          <w:rPr>
            <w:i/>
            <w:iCs/>
          </w:rPr>
          <w:t xml:space="preserve"> </w:t>
        </w:r>
      </w:ins>
      <w:ins w:id="10106" w:author="Z. Zukowski" w:date="2026-05-22T00:00:00Z">
        <w:r>
          <w:rPr>
            <w:i/>
            <w:iCs/>
          </w:rPr>
          <w:t xml:space="preserve">governance activity, grouped by category (DeFi, DePIN, infrastructure), then by amplification ratio within category. Reading the figure:</w:t>
        </w:r>
      </w:ins>
      <w:ins w:id="10106" w:author="Z. Zukowski" w:date="2026-05-22T00:00:00Z">
        <w:r>
          <w:rPr>
            <w:i/>
            <w:iCs/>
          </w:rPr>
          <w:t xml:space="preserve"> </w:t>
        </w:r>
      </w:ins>
      <w:ins w:id="10106" w:author="Z. Zukowski" w:date="2026-05-22T00:00:00Z">
        <w:r>
          <w:rPr>
            <w:i/>
            <w:iCs/>
          </w:rPr>
          <w:t xml:space="preserve">the ratio label at the right of each pair gives voting HHI divided by</w:t>
        </w:r>
      </w:ins>
      <w:ins w:id="10106" w:author="Z. Zukowski" w:date="2026-05-22T00:00:00Z">
        <w:r>
          <w:rPr>
            <w:i/>
            <w:iCs/>
          </w:rPr>
          <w:t xml:space="preserve"> </w:t>
        </w:r>
      </w:ins>
      <w:ins w:id="10106" w:author="Z. Zukowski" w:date="2026-05-22T00:00:00Z">
        <w:r>
          <w:rPr>
            <w:i/>
            <w:iCs/>
          </w:rPr>
          <w:t xml:space="preserve">holding HHI; ratios above 1.0 indicate delegation amplifies concentration</w:t>
        </w:r>
      </w:ins>
      <w:ins w:id="10106" w:author="Z. Zukowski" w:date="2026-05-22T00:00:00Z">
        <w:r>
          <w:rPr>
            <w:i/>
            <w:iCs/>
          </w:rPr>
          <w:t xml:space="preserve"> </w:t>
        </w:r>
      </w:ins>
      <w:ins w:id="10106" w:author="Z. Zukowski" w:date="2026-05-22T00:00:00Z">
        <w:r>
          <w:rPr>
            <w:i/>
            <w:iCs/>
          </w:rPr>
          <w:t xml:space="preserve">(the upper bar is longer than the lower bar; green annotation), ratios</w:t>
        </w:r>
      </w:ins>
      <w:ins w:id="10106" w:author="Z. Zukowski" w:date="2026-05-22T00:00:00Z">
        <w:r>
          <w:rPr>
            <w:i/>
            <w:iCs/>
          </w:rPr>
          <w:t xml:space="preserve"> </w:t>
        </w:r>
      </w:ins>
      <w:ins w:id="10106" w:author="Z. Zukowski" w:date="2026-05-22T00:00:00Z">
        <w:r>
          <w:rPr>
            <w:i/>
            <w:iCs/>
          </w:rPr>
          <w:t xml:space="preserve">below 1.0 indicate delegation distributes it (red annotation). Thirteen</w:t>
        </w:r>
      </w:ins>
      <w:ins w:id="10106" w:author="Z. Zukowski" w:date="2026-05-22T00:00:00Z">
        <w:r>
          <w:rPr>
            <w:i/>
            <w:iCs/>
          </w:rPr>
          <w:t xml:space="preserve"> </w:t>
        </w:r>
      </w:ins>
      <w:ins w:id="10106" w:author="Z. Zukowski" w:date="2026-05-22T00:00:00Z">
        <w:r>
          <w:rPr>
            <w:i/>
            <w:iCs/>
          </w:rPr>
          <w:t xml:space="preserve">of eighteen protocols amplify, with ratios ranging from 2.5x (Gnosis) to</w:t>
        </w:r>
      </w:ins>
      <w:ins w:id="10106" w:author="Z. Zukowski" w:date="2026-05-22T00:00:00Z">
        <w:r>
          <w:rPr>
            <w:i/>
            <w:iCs/>
          </w:rPr>
          <w:t xml:space="preserve"> </w:t>
        </w:r>
      </w:ins>
      <w:ins w:id="10106" w:author="Z. Zukowski" w:date="2026-05-22T00:00:00Z">
        <w:r>
          <w:rPr>
            <w:i/>
            <w:iCs/>
          </w:rPr>
          <w:t xml:space="preserve">25.6x (Polkadot); five protocols show dispersion (the five dispersion</w:t>
        </w:r>
      </w:ins>
      <w:ins w:id="10106" w:author="Z. Zukowski" w:date="2026-05-22T00:00:00Z">
        <w:r>
          <w:rPr>
            <w:i/>
            <w:iCs/>
          </w:rPr>
          <w:t xml:space="preserve"> </w:t>
        </w:r>
      </w:ins>
      <w:ins w:id="10106" w:author="Z. Zukowski" w:date="2026-05-22T00:00:00Z">
        <w:r>
          <w:rPr>
            <w:i/>
            <w:iCs/>
          </w:rPr>
          <w:t xml:space="preserve">exceptions, Table 6). Per-protocol values and source notes are in Table 6 and</w:t>
        </w:r>
      </w:ins>
      <w:ins w:id="10106" w:author="Z. Zukowski" w:date="2026-05-22T00:00:00Z">
        <w:r>
          <w:rPr>
            <w:i/>
            <w:iCs/>
          </w:rPr>
          <w:t xml:space="preserve"> </w:t>
        </w:r>
      </w:ins>
      <w:ins w:id="10106" w:author="Z. Zukowski" w:date="2026-05-22T00:00:00Z">
        <w:r>
          <w:rPr>
            <w:i/>
            <w:iCs/>
          </w:rPr>
          <w:t xml:space="preserve">Supplement S15. Snapshot rows aggregate unique voters across all</w:t>
        </w:r>
      </w:ins>
      <w:ins w:id="10106" w:author="Z. Zukowski" w:date="2026-05-22T00:00:00Z">
        <w:r>
          <w:rPr>
            <w:i/>
            <w:iCs/>
          </w:rPr>
          <w:t xml:space="preserve"> </w:t>
        </w:r>
      </w:ins>
      <w:ins w:id="10106" w:author="Z. Zukowski" w:date="2026-05-22T00:00:00Z">
        <w:r>
          <w:rPr>
            <w:i/>
            <w:iCs/>
          </w:rPr>
          <w:t xml:space="preserve">proposals in a 12-month rolling window; Tally rows reflect top-1,000</w:t>
        </w:r>
      </w:ins>
      <w:ins w:id="10106" w:author="Z. Zukowski" w:date="2026-05-22T00:00:00Z">
        <w:r>
          <w:rPr>
            <w:i/>
            <w:iCs/>
          </w:rPr>
          <w:t xml:space="preserve"> </w:t>
        </w:r>
      </w:ins>
      <w:ins w:id="10106" w:author="Z. Zukowski" w:date="2026-05-22T00:00:00Z">
        <w:r>
          <w:rPr>
            <w:i/>
            <w:iCs/>
          </w:rPr>
          <w:t xml:space="preserve">delegate samples per protocol.</w:t>
        </w:r>
      </w:ins>
    </w:p>
    <w:p>
      <w:pPr>
        <w:pStyle w:val="BodyText"/>
      </w:pPr>
      <w:ins w:id="10107" w:author="Z. Zukowski" w:date="2026-05-22T00:00:00Z">
        <w:r>
          <w:t xml:space="preserve">Seven DeFi protocols sampled show varying delegation outcomes: JUP</w:t>
        </w:r>
      </w:ins>
      <w:ins w:id="10107" w:author="Z. Zukowski" w:date="2026-05-22T00:00:00Z">
        <w:r>
          <w:t xml:space="preserve"> </w:t>
        </w:r>
      </w:ins>
      <w:ins w:id="10107" w:author="Z. Zukowski" w:date="2026-05-22T00:00:00Z">
        <w:r>
          <w:t xml:space="preserve">(0.12x, most-extreme dispersion outlier per Section 4.5.4 Solana</w:t>
        </w:r>
      </w:ins>
      <w:ins w:id="10107" w:author="Z. Zukowski" w:date="2026-05-22T00:00:00Z">
        <w:r>
          <w:t xml:space="preserve"> </w:t>
        </w:r>
      </w:ins>
      <w:ins w:id="10107"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107" w:author="Z. Zukowski" w:date="2026-05-22T00:00:00Z">
        <w:r>
          <w:t xml:space="preserve"> </w:t>
        </w:r>
      </w:ins>
      <w:ins w:id="10107" w:author="Z. Zukowski" w:date="2026-05-22T00:00:00Z">
        <w:r>
          <w:t xml:space="preserve">Section 4.5.4), Uniswap (2.7x), Aave (4.4x), Lido</w:t>
        </w:r>
      </w:ins>
      <w:ins w:id="10107" w:author="Z. Zukowski" w:date="2026-05-22T00:00:00Z">
        <w:r>
          <w:t xml:space="preserve"> </w:t>
        </w:r>
      </w:ins>
      <w:ins w:id="10107" w:author="Z. Zukowski" w:date="2026-05-22T00:00:00Z">
        <w:r>
          <w:t xml:space="preserve">(6.3x), and Compound (9.9x; the highest among the protocols drawn in this figure). The Uniswap result is</w:t>
        </w:r>
      </w:ins>
      <w:ins w:id="10107" w:author="Z. Zukowski" w:date="2026-05-22T00:00:00Z">
        <w:r>
          <w:t xml:space="preserve"> </w:t>
        </w:r>
      </w:ins>
      <w:ins w:id="10107" w:author="Z. Zukowski" w:date="2026-05-22T00:00:00Z">
        <w:r>
          <w:t xml:space="preserve">worth examining in detail. Earlier analyses, using a holding HHI of</w:t>
        </w:r>
      </w:ins>
      <w:ins w:id="10107" w:author="Z. Zukowski" w:date="2026-05-22T00:00:00Z">
        <w:r>
          <w:t xml:space="preserve"> </w:t>
        </w:r>
      </w:ins>
      <w:ins w:id="10107" w:author="Z. Zukowski" w:date="2026-05-22T00:00:00Z">
        <w:r>
          <w:t xml:space="preserve">0.032, produced an amplification ratio of 0.84x and were cited as</w:t>
        </w:r>
      </w:ins>
      <w:ins w:id="10107" w:author="Z. Zukowski" w:date="2026-05-22T00:00:00Z">
        <w:r>
          <w:t xml:space="preserve"> </w:t>
        </w:r>
      </w:ins>
      <w:ins w:id="10107" w:author="Z. Zukowski" w:date="2026-05-22T00:00:00Z">
        <w:r>
          <w:t xml:space="preserve">evidence that Uniswap’s mature delegate ecosystem can disperse</w:t>
        </w:r>
      </w:ins>
      <w:ins w:id="10107" w:author="Z. Zukowski" w:date="2026-05-22T00:00:00Z">
        <w:r>
          <w:t xml:space="preserve"> </w:t>
        </w:r>
      </w:ins>
      <w:ins w:id="10107" w:author="Z. Zukowski" w:date="2026-05-22T00:00:00Z">
        <w:r>
          <w:t xml:space="preserve">governance power. That earlier HHI included the canonical UNI burn</w:t>
        </w:r>
      </w:ins>
      <w:ins w:id="10107" w:author="Z. Zukowski" w:date="2026-05-22T00:00:00Z">
        <w:r>
          <w:t xml:space="preserve"> </w:t>
        </w:r>
      </w:ins>
      <w:ins w:id="10107" w:author="Z. Zukowski" w:date="2026-05-22T00:00:00Z">
        <w:r>
          <w:t xml:space="preserve">address (0x000…000dead), which holds 102.5 million UNI (11.3 percent</w:t>
        </w:r>
      </w:ins>
      <w:ins w:id="10107" w:author="Z. Zukowski" w:date="2026-05-22T00:00:00Z">
        <w:r>
          <w:t xml:space="preserve"> </w:t>
        </w:r>
      </w:ins>
      <w:ins w:id="10107" w:author="Z. Zukowski" w:date="2026-05-22T00:00:00Z">
        <w:r>
          <w:t xml:space="preserve">of supply) inert and cannot participate in governance under any</w:t>
        </w:r>
      </w:ins>
      <w:ins w:id="10107" w:author="Z. Zukowski" w:date="2026-05-22T00:00:00Z">
        <w:r>
          <w:t xml:space="preserve"> </w:t>
        </w:r>
      </w:ins>
      <w:ins w:id="10107" w:author="Z. Zukowski" w:date="2026-05-22T00:00:00Z">
        <w:r>
          <w:t xml:space="preserve">condition: it has no delegate, no votes, and no path to ever cast one.</w:t>
        </w:r>
      </w:ins>
      <w:ins w:id="10107" w:author="Z. Zukowski" w:date="2026-05-22T00:00:00Z">
        <w:r>
          <w:t xml:space="preserve"> </w:t>
        </w:r>
      </w:ins>
      <w:ins w:id="10107" w:author="Z. Zukowski" w:date="2026-05-22T00:00:00Z">
        <w:r>
          <w:t xml:space="preserve">After excluding this burn address, the post-exclusion holding HHI is 0.010,</w:t>
        </w:r>
      </w:ins>
      <w:ins w:id="10107" w:author="Z. Zukowski" w:date="2026-05-22T00:00:00Z">
        <w:r>
          <w:t xml:space="preserve"> </w:t>
        </w:r>
      </w:ins>
      <w:ins w:id="10107" w:author="Z. Zukowski" w:date="2026-05-22T00:00:00Z">
        <w:r>
          <w:t xml:space="preserve">and the amplification ratio is 2.8x. Uniswap’s delegate program</w:t>
        </w:r>
      </w:ins>
      <w:ins w:id="10107" w:author="Z. Zukowski" w:date="2026-05-22T00:00:00Z">
        <w:r>
          <w:t xml:space="preserve"> </w:t>
        </w:r>
      </w:ins>
      <w:ins w:id="10107" w:author="Z. Zukowski" w:date="2026-05-22T00:00:00Z">
        <w:r>
          <w:t xml:space="preserve">concentrates voting power above its post-exclusion holding baseline,</w:t>
        </w:r>
      </w:ins>
      <w:ins w:id="10107" w:author="Z. Zukowski" w:date="2026-05-22T00:00:00Z">
        <w:r>
          <w:t xml:space="preserve"> </w:t>
        </w:r>
      </w:ins>
      <w:ins w:id="10107" w:author="Z. Zukowski" w:date="2026-05-22T00:00:00Z">
        <w:r>
          <w:t xml:space="preserve">in line with every other protocol sampled. The pre-exclusion</w:t>
        </w:r>
      </w:ins>
      <w:ins w:id="10107" w:author="Z. Zukowski" w:date="2026-05-22T00:00:00Z">
        <w:r>
          <w:t xml:space="preserve"> </w:t>
        </w:r>
      </w:ins>
      <w:ins w:id="10107" w:author="Z. Zukowski" w:date="2026-05-22T00:00:00Z">
        <w:r>
          <w:t xml:space="preserve">result was driven by including a wallet that structurally cannot vote</w:t>
        </w:r>
      </w:ins>
      <w:ins w:id="10107" w:author="Z. Zukowski" w:date="2026-05-22T00:00:00Z">
        <w:r>
          <w:t xml:space="preserve"> </w:t>
        </w:r>
      </w:ins>
      <w:ins w:id="10107" w:author="Z. Zukowski" w:date="2026-05-22T00:00:00Z">
        <w:r>
          <w:t xml:space="preserve">in the holding denominator.</w:t>
        </w:r>
      </w:ins>
    </w:p>
    <w:p>
      <w:pPr>
        <w:pStyle w:val="BodyText"/>
      </w:pPr>
      <w:ins w:id="10108" w:author="Z. Zukowski" w:date="2026-05-22T00:00:00Z">
        <w:r>
          <w:t xml:space="preserve">Both infrastructure protocols sampled show delegation amplification</w:t>
        </w:r>
      </w:ins>
      <w:ins w:id="10108" w:author="Z. Zukowski" w:date="2026-05-22T00:00:00Z">
        <w:r>
          <w:t xml:space="preserve"> </w:t>
        </w:r>
      </w:ins>
      <w:ins w:id="10108" w:author="Z. Zukowski" w:date="2026-05-22T00:00:00Z">
        <w:r>
          <w:t xml:space="preserve">when holding HHIs are computed with the same exclusions applied to</w:t>
        </w:r>
      </w:ins>
      <w:ins w:id="10108" w:author="Z. Zukowski" w:date="2026-05-22T00:00:00Z">
        <w:r>
          <w:t xml:space="preserve"> </w:t>
        </w:r>
      </w:ins>
      <w:ins w:id="10108" w:author="Z. Zukowski" w:date="2026-05-22T00:00:00Z">
        <w:r>
          <w:t xml:space="preserve">Table 3. Optimism’s voting HHI (0.033) is 3.6 times its post-exclusion</w:t>
        </w:r>
      </w:ins>
      <w:ins w:id="10108" w:author="Z. Zukowski" w:date="2026-05-22T00:00:00Z">
        <w:r>
          <w:t xml:space="preserve"> </w:t>
        </w:r>
      </w:ins>
      <w:ins w:id="10108" w:author="Z. Zukowski" w:date="2026-05-22T00:00:00Z">
        <w:r>
          <w:t xml:space="preserve">holding HHI (0.009). Arbitrum’s voting HHI (0.038)</w:t>
        </w:r>
      </w:ins>
      <w:ins w:id="10108" w:author="Z. Zukowski" w:date="2026-05-22T00:00:00Z">
        <w:r>
          <w:t xml:space="preserve"> </w:t>
        </w:r>
      </w:ins>
      <w:ins w:id="10108" w:author="Z. Zukowski" w:date="2026-05-22T00:00:00Z">
        <w:r>
          <w:t xml:space="preserve">is 3.1 times its holding HHI (0.012). Both protocols have invested in</w:t>
        </w:r>
      </w:ins>
      <w:ins w:id="10108" w:author="Z. Zukowski" w:date="2026-05-22T00:00:00Z">
        <w:r>
          <w:t xml:space="preserve"> </w:t>
        </w:r>
      </w:ins>
      <w:ins w:id="10108" w:author="Z. Zukowski" w:date="2026-05-22T00:00:00Z">
        <w:r>
          <w:t xml:space="preserve">delegate-program infrastructure (published delegate platforms, recurring</w:t>
        </w:r>
      </w:ins>
      <w:ins w:id="10108" w:author="Z. Zukowski" w:date="2026-05-22T00:00:00Z">
        <w:r>
          <w:t xml:space="preserve"> </w:t>
        </w:r>
      </w:ins>
      <w:ins w:id="10108" w:author="Z. Zukowski" w:date="2026-05-22T00:00:00Z">
        <w:r>
          <w:t xml:space="preserve">delegate compensation, active recruitment of long-form policy positions),</w:t>
        </w:r>
      </w:ins>
      <w:ins w:id="10108" w:author="Z. Zukowski" w:date="2026-05-22T00:00:00Z">
        <w:r>
          <w:t xml:space="preserve"> </w:t>
        </w:r>
      </w:ins>
      <w:ins w:id="10108" w:author="Z. Zukowski" w:date="2026-05-22T00:00:00Z">
        <w:r>
          <w:t xml:space="preserve">and both produce amplification ratios in the 3.1x to 3.6x range, which</w:t>
        </w:r>
      </w:ins>
      <w:ins w:id="10108" w:author="Z. Zukowski" w:date="2026-05-22T00:00:00Z">
        <w:r>
          <w:t xml:space="preserve"> </w:t>
        </w:r>
      </w:ins>
      <w:ins w:id="10108" w:author="Z. Zukowski" w:date="2026-05-22T00:00:00Z">
        <w:r>
          <w:t xml:space="preserve">sits below the cross-protocol mean. Delegate-program investment</w:t>
        </w:r>
      </w:ins>
      <w:ins w:id="10108" w:author="Z. Zukowski" w:date="2026-05-22T00:00:00Z">
        <w:r>
          <w:t xml:space="preserve"> </w:t>
        </w:r>
      </w:ins>
      <w:ins w:id="10108" w:author="Z. Zukowski" w:date="2026-05-22T00:00:00Z">
        <w:r>
          <w:t xml:space="preserve">does not differentiate the two protocols on amplification magnitude.</w:t>
        </w:r>
      </w:ins>
      <w:ins w:id="10108" w:author="Z. Zukowski" w:date="2026-05-22T00:00:00Z">
        <w:r>
          <w:t xml:space="preserve"> </w:t>
        </w:r>
      </w:ins>
      <w:ins w:id="10108" w:author="Z. Zukowski" w:date="2026-05-22T00:00:00Z">
        <w:r>
          <w:t xml:space="preserve">The institutional layers built around the delegate programs differ</w:t>
        </w:r>
      </w:ins>
      <w:ins w:id="10108" w:author="Z. Zukowski" w:date="2026-05-22T00:00:00Z">
        <w:r>
          <w:t xml:space="preserve"> </w:t>
        </w:r>
      </w:ins>
      <w:ins w:id="10108" w:author="Z. Zukowski" w:date="2026-05-22T00:00:00Z">
        <w:r>
          <w:t xml:space="preserve">substantially and may differentiate outcomes that HHI cannot capture,</w:t>
        </w:r>
      </w:ins>
      <w:ins w:id="10108" w:author="Z. Zukowski" w:date="2026-05-22T00:00:00Z">
        <w:r>
          <w:t xml:space="preserve"> </w:t>
        </w:r>
      </w:ins>
      <w:ins w:id="10108" w:author="Z. Zukowski" w:date="2026-05-22T00:00:00Z">
        <w:r>
          <w:t xml:space="preserve">as discussed in the next paragraph.</w:t>
        </w:r>
      </w:ins>
    </w:p>
    <w:p>
      <w:pPr>
        <w:pStyle w:val="BodyText"/>
      </w:pPr>
      <w:ins w:id="10109" w:author="Z. Zukowski" w:date="2026-05-22T00:00:00Z">
        <w:r>
          <w:t xml:space="preserve">Optimism’s Token House shows 3.6x delegation amplification, below the cross-protocol mean but consistent with the predominant direction</w:t>
        </w:r>
      </w:ins>
      <w:ins w:id="10109" w:author="Z. Zukowski" w:date="2026-05-22T00:00:00Z">
        <w:r>
          <w:t xml:space="preserve"> </w:t>
        </w:r>
      </w:ins>
      <w:ins w:id="10109" w:author="Z. Zukowski" w:date="2026-05-22T00:00:00Z">
        <w:r>
          <w:t xml:space="preserve">of effect (amplification in thirteen of eighteen protocols). The Citizens’ House moderates</w:t>
        </w:r>
      </w:ins>
      <w:ins w:id="10109" w:author="Z. Zukowski" w:date="2026-05-22T00:00:00Z">
        <w:r>
          <w:t xml:space="preserve"> </w:t>
        </w:r>
      </w:ins>
      <w:ins w:id="10109" w:author="Z. Zukowski" w:date="2026-05-22T00:00:00Z">
        <w:r>
          <w:t xml:space="preserve">Optimism’s governance in practice, though it does not enter the</w:t>
        </w:r>
      </w:ins>
      <w:ins w:id="10109" w:author="Z. Zukowski" w:date="2026-05-22T00:00:00Z">
        <w:r>
          <w:t xml:space="preserve"> </w:t>
        </w:r>
      </w:ins>
      <w:ins w:id="10109" w:author="Z. Zukowski" w:date="2026-05-22T00:00:00Z">
        <w:r>
          <w:t xml:space="preserve">token-weighted HHI calculation. The Citizens’ House is a separate</w:t>
        </w:r>
      </w:ins>
      <w:ins w:id="10109" w:author="Z. Zukowski" w:date="2026-05-22T00:00:00Z">
        <w:r>
          <w:t xml:space="preserve"> </w:t>
        </w:r>
      </w:ins>
      <w:ins w:id="10109" w:author="Z. Zukowski" w:date="2026-05-22T00:00:00Z">
        <w:r>
          <w:t xml:space="preserve">governance body weighted by reputation rather than tokens, with formal</w:t>
        </w:r>
      </w:ins>
      <w:ins w:id="10109" w:author="Z. Zukowski" w:date="2026-05-22T00:00:00Z">
        <w:r>
          <w:t xml:space="preserve"> </w:t>
        </w:r>
      </w:ins>
      <w:ins w:id="10109" w:author="Z. Zukowski" w:date="2026-05-22T00:00:00Z">
        <w:r>
          <w:t xml:space="preserve">veto power over economic parameters proposed by the Token House and a</w:t>
        </w:r>
      </w:ins>
      <w:ins w:id="10109" w:author="Z. Zukowski" w:date="2026-05-22T00:00:00Z">
        <w:r>
          <w:t xml:space="preserve"> </w:t>
        </w:r>
      </w:ins>
      <w:ins w:id="10109" w:author="Z. Zukowski" w:date="2026-05-22T00:00:00Z">
        <w:r>
          <w:t xml:space="preserve">veto threshold that lowers when multiple stakeholder groups align</w:t>
        </w:r>
      </w:ins>
      <w:ins w:id="10109" w:author="Z. Zukowski" w:date="2026-05-22T00:00:00Z">
        <w:r>
          <w:t xml:space="preserve"> </w:t>
        </w:r>
      </w:ins>
      <w:ins w:id="10109" w:author="Z. Zukowski" w:date="2026-05-22T00:00:00Z">
        <w:r>
          <w:t xml:space="preserve">(Optimism, 2024). Because reputation weights are not token weights, the</w:t>
        </w:r>
      </w:ins>
      <w:ins w:id="10109" w:author="Z. Zukowski" w:date="2026-05-22T00:00:00Z">
        <w:r>
          <w:t xml:space="preserve"> </w:t>
        </w:r>
      </w:ins>
      <w:ins w:id="10109" w:author="Z. Zukowski" w:date="2026-05-22T00:00:00Z">
        <w:r>
          <w:t xml:space="preserve">Citizens’ House provides accountability that the amplification ratio</w:t>
        </w:r>
      </w:ins>
      <w:ins w:id="10109" w:author="Z. Zukowski" w:date="2026-05-22T00:00:00Z">
        <w:r>
          <w:t xml:space="preserve"> </w:t>
        </w:r>
      </w:ins>
      <w:ins w:id="10109" w:author="Z. Zukowski" w:date="2026-05-22T00:00:00Z">
        <w:r>
          <w:t xml:space="preserve">alone cannot capture.</w:t>
        </w:r>
      </w:ins>
    </w:p>
    <w:p>
      <w:pPr>
        <w:pStyle w:val="BodyText"/>
      </w:pPr>
      <w:ins w:id="10110" w:author="Z. Zukowski" w:date="2026-05-22T00:00:00Z">
        <w:r>
          <w:t xml:space="preserve">Lido’s 6.3x amplification</w:t>
        </w:r>
      </w:ins>
      <w:ins w:id="10110" w:author="Z. Zukowski" w:date="2026-05-22T00:00:00Z">
        <w:r>
          <w:t xml:space="preserve"> </w:t>
        </w:r>
      </w:ins>
      <w:ins w:id="10110" w:author="Z. Zukowski" w:date="2026-05-22T00:00:00Z">
        <w:r>
          <w:t xml:space="preserve">catalyzed a parallel institutional response. The</w:t>
        </w:r>
      </w:ins>
      <w:ins w:id="10110" w:author="Z. Zukowski" w:date="2026-05-22T00:00:00Z">
        <w:r>
          <w:t xml:space="preserve"> </w:t>
        </w:r>
      </w:ins>
      <w:ins w:id="10110" w:author="Z. Zukowski" w:date="2026-05-22T00:00:00Z">
        <w:r>
          <w:t xml:space="preserve">“Dual Governance”</w:t>
        </w:r>
      </w:ins>
      <w:ins w:id="10110" w:author="Z. Zukowski" w:date="2026-05-22T00:00:00Z">
        <w:r>
          <w:t xml:space="preserve"> </w:t>
        </w:r>
      </w:ins>
      <w:ins w:id="10110" w:author="Z. Zukowski" w:date="2026-05-22T00:00:00Z">
        <w:r>
          <w:t xml:space="preserve">redesign grants stETH holders formal veto power over LDO governance</w:t>
        </w:r>
      </w:ins>
      <w:ins w:id="10110" w:author="Z. Zukowski" w:date="2026-05-22T00:00:00Z">
        <w:r>
          <w:t xml:space="preserve"> </w:t>
        </w:r>
      </w:ins>
      <w:ins w:id="10110" w:author="Z. Zukowski" w:date="2026-05-22T00:00:00Z">
        <w:r>
          <w:t xml:space="preserve">proposals, with a programmatic</w:t>
        </w:r>
      </w:ins>
      <w:ins w:id="10110" w:author="Z. Zukowski" w:date="2026-05-22T00:00:00Z">
        <w:r>
          <w:t xml:space="preserve"> </w:t>
        </w:r>
      </w:ins>
      <w:ins w:id="10110" w:author="Z. Zukowski" w:date="2026-05-22T00:00:00Z">
        <w:r>
          <w:t xml:space="preserve">“rage quit”</w:t>
        </w:r>
      </w:ins>
      <w:ins w:id="10110" w:author="Z. Zukowski" w:date="2026-05-22T00:00:00Z">
        <w:r>
          <w:t xml:space="preserve"> </w:t>
        </w:r>
      </w:ins>
      <w:ins w:id="10110" w:author="Z. Zukowski" w:date="2026-05-22T00:00:00Z">
        <w:r>
          <w:t xml:space="preserve">exit mechanism as the</w:t>
        </w:r>
      </w:ins>
      <w:ins w:id="10110" w:author="Z. Zukowski" w:date="2026-05-22T00:00:00Z">
        <w:r>
          <w:t xml:space="preserve"> </w:t>
        </w:r>
      </w:ins>
      <w:ins w:id="10110" w:author="Z. Zukowski" w:date="2026-05-22T00:00:00Z">
        <w:r>
          <w:t xml:space="preserve">ultimate accountability lever. The reform precedes the holding-HHI</w:t>
        </w:r>
      </w:ins>
      <w:ins w:id="10110" w:author="Z. Zukowski" w:date="2026-05-22T00:00:00Z">
        <w:r>
          <w:t xml:space="preserve"> </w:t>
        </w:r>
      </w:ins>
      <w:ins w:id="10110" w:author="Z. Zukowski" w:date="2026-05-22T00:00:00Z">
        <w:r>
          <w:t xml:space="preserve">recomputation reported here and was justified at the time by the</w:t>
        </w:r>
      </w:ins>
      <w:ins w:id="10110" w:author="Z. Zukowski" w:date="2026-05-22T00:00:00Z">
        <w:r>
          <w:t xml:space="preserve"> </w:t>
        </w:r>
      </w:ins>
      <w:ins w:id="10110" w:author="Z. Zukowski" w:date="2026-05-22T00:00:00Z">
        <w:r>
          <w:t xml:space="preserve">amplification ratio measured from a curated active-governance holder</w:t>
        </w:r>
      </w:ins>
      <w:ins w:id="10110" w:author="Z. Zukowski" w:date="2026-05-22T00:00:00Z">
        <w:r>
          <w:t xml:space="preserve"> </w:t>
        </w:r>
      </w:ins>
      <w:ins w:id="10110" w:author="Z. Zukowski" w:date="2026-05-22T00:00:00Z">
        <w:r>
          <w:t xml:space="preserve">subset (N = 189; minimum balance threshold approximately 414K LDO).</w:t>
        </w:r>
      </w:ins>
      <w:ins w:id="10110" w:author="Z. Zukowski" w:date="2026-05-22T00:00:00Z">
        <w:r>
          <w:t xml:space="preserve"> </w:t>
        </w:r>
      </w:ins>
      <w:ins w:id="10110" w:author="Z. Zukowski" w:date="2026-05-22T00:00:00Z">
        <w:r>
          <w:t xml:space="preserve">Under the universal top-1,000 holder methodology applied in this</w:t>
        </w:r>
      </w:ins>
      <w:ins w:id="10110" w:author="Z. Zukowski" w:date="2026-05-22T00:00:00Z">
        <w:r>
          <w:t xml:space="preserve"> </w:t>
        </w:r>
      </w:ins>
      <w:ins w:id="10110" w:author="Z. Zukowski" w:date="2026-05-22T00:00:00Z">
        <w:r>
          <w:t xml:space="preserve">manuscript with the full protocol-controlled-address audit (Section 3.8; Bybit and Binance custody addresses excluded as Class 5 CEX</w:t>
        </w:r>
      </w:ins>
      <w:ins w:id="10110" w:author="Z. Zukowski" w:date="2026-05-22T00:00:00Z">
        <w:r>
          <w:t xml:space="preserve"> </w:t>
        </w:r>
      </w:ins>
      <w:ins w:id="10110" w:author="Z. Zukowski" w:date="2026-05-22T00:00:00Z">
        <w:r>
          <w:t xml:space="preserve">custody), Lido’s amplification ratio (6.3x) is substantial, and the direction (concentration above stake) is consistent</w:t>
        </w:r>
      </w:ins>
      <w:ins w:id="10110" w:author="Z. Zukowski" w:date="2026-05-22T00:00:00Z">
        <w:r>
          <w:t xml:space="preserve"> </w:t>
        </w:r>
      </w:ins>
      <w:ins w:id="10110" w:author="Z. Zukowski" w:date="2026-05-22T00:00:00Z">
        <w:r>
          <w:t xml:space="preserve">with the predominant-amplification pattern documented across thirteen of eighteen</w:t>
        </w:r>
      </w:ins>
      <w:ins w:id="10110" w:author="Z. Zukowski" w:date="2026-05-22T00:00:00Z">
        <w:r>
          <w:t xml:space="preserve"> </w:t>
        </w:r>
      </w:ins>
      <w:ins w:id="10110" w:author="Z. Zukowski" w:date="2026-05-22T00:00:00Z">
        <w:r>
          <w:t xml:space="preserve">protocols.</w:t>
        </w:r>
      </w:ins>
    </w:p>
    <w:p>
      <w:pPr>
        <w:pStyle w:val="BodyText"/>
      </w:pPr>
      <w:ins w:id="10111" w:author="Z. Zukowski" w:date="2026-05-22T00:00:00Z">
        <w:r>
          <w:t xml:space="preserve">Both responses share the same shape. Token-weighted delegation</w:t>
        </w:r>
      </w:ins>
      <w:ins w:id="10111" w:author="Z. Zukowski" w:date="2026-05-22T00:00:00Z">
        <w:r>
          <w:t xml:space="preserve"> </w:t>
        </w:r>
      </w:ins>
      <w:ins w:id="10111" w:author="Z. Zukowski" w:date="2026-05-22T00:00:00Z">
        <w:r>
          <w:t xml:space="preserve">concentrates voting power above stake holdings across the sample, and</w:t>
        </w:r>
      </w:ins>
      <w:ins w:id="10111" w:author="Z. Zukowski" w:date="2026-05-22T00:00:00Z">
        <w:r>
          <w:t xml:space="preserve"> </w:t>
        </w:r>
      </w:ins>
      <w:ins w:id="10111" w:author="Z. Zukowski" w:date="2026-05-22T00:00:00Z">
        <w:r>
          <w:t xml:space="preserve">the institutional reforms operate by adding an accountability layer</w:t>
        </w:r>
      </w:ins>
      <w:ins w:id="10111" w:author="Z. Zukowski" w:date="2026-05-22T00:00:00Z">
        <w:r>
          <w:t xml:space="preserve"> </w:t>
        </w:r>
      </w:ins>
      <w:ins w:id="10111" w:author="Z. Zukowski" w:date="2026-05-22T00:00:00Z">
        <w:r>
          <w:t xml:space="preserve">outside the token-weighted system rather than redesigning the</w:t>
        </w:r>
      </w:ins>
      <w:ins w:id="10111" w:author="Z. Zukowski" w:date="2026-05-22T00:00:00Z">
        <w:r>
          <w:t xml:space="preserve"> </w:t>
        </w:r>
      </w:ins>
      <w:ins w:id="10111" w:author="Z. Zukowski" w:date="2026-05-22T00:00:00Z">
        <w:r>
          <w:t xml:space="preserve">delegation mechanism itself. Both protocols with named accountability</w:t>
        </w:r>
      </w:ins>
      <w:ins w:id="10111" w:author="Z. Zukowski" w:date="2026-05-22T00:00:00Z">
        <w:r>
          <w:t xml:space="preserve"> </w:t>
        </w:r>
      </w:ins>
      <w:ins w:id="10111" w:author="Z. Zukowski" w:date="2026-05-22T00:00:00Z">
        <w:r>
          <w:t xml:space="preserve">reforms (Optimism, Lido) are protocols where token-weighted delegation</w:t>
        </w:r>
      </w:ins>
      <w:ins w:id="10111" w:author="Z. Zukowski" w:date="2026-05-22T00:00:00Z">
        <w:r>
          <w:t xml:space="preserve"> </w:t>
        </w:r>
      </w:ins>
      <w:ins w:id="10111" w:author="Z. Zukowski" w:date="2026-05-22T00:00:00Z">
        <w:r>
          <w:t xml:space="preserve">shows positive amplification, consistent with reading these reforms as</w:t>
        </w:r>
      </w:ins>
      <w:ins w:id="10111" w:author="Z. Zukowski" w:date="2026-05-22T00:00:00Z">
        <w:r>
          <w:t xml:space="preserve"> </w:t>
        </w:r>
      </w:ins>
      <w:ins w:id="10111" w:author="Z. Zukowski" w:date="2026-05-22T00:00:00Z">
        <w:r>
          <w:t xml:space="preserve">responses to the predominant-amplification pattern that this section</w:t>
        </w:r>
      </w:ins>
      <w:ins w:id="10111" w:author="Z. Zukowski" w:date="2026-05-22T00:00:00Z">
        <w:r>
          <w:t xml:space="preserve"> </w:t>
        </w:r>
      </w:ins>
      <w:ins w:id="10111" w:author="Z. Zukowski" w:date="2026-05-22T00:00:00Z">
        <w:r>
          <w:t xml:space="preserve">documents.</w:t>
        </w:r>
      </w:ins>
    </w:p>
    <w:p>
      <w:pPr>
        <w:pStyle w:val="BodyText"/>
      </w:pPr>
      <w:ins w:id="10112" w:author="Z. Zukowski" w:date="2026-05-22T00:00:00Z">
        <w:r>
          <w:t xml:space="preserve">The delegation-adjusted analysis reported in this section extends</w:t>
        </w:r>
      </w:ins>
      <w:ins w:id="10112" w:author="Z. Zukowski" w:date="2026-05-22T00:00:00Z">
        <w:r>
          <w:t xml:space="preserve"> </w:t>
        </w:r>
      </w:ins>
      <w:ins w:id="10112" w:author="Z. Zukowski" w:date="2026-05-22T00:00:00Z">
        <w:r>
          <w:t xml:space="preserve">recent empirical work by Fritsch, Müller, and Wattenhofer (2024), who</w:t>
        </w:r>
      </w:ins>
      <w:ins w:id="10112" w:author="Z. Zukowski" w:date="2026-05-22T00:00:00Z">
        <w:r>
          <w:t xml:space="preserve"> </w:t>
        </w:r>
      </w:ins>
      <w:ins w:id="10112" w:author="Z. Zukowski" w:date="2026-05-22T00:00:00Z">
        <w:r>
          <w:t xml:space="preserve">apply Nakamoto coefficients and Gini measures to voting power in</w:t>
        </w:r>
      </w:ins>
      <w:ins w:id="10112" w:author="Z. Zukowski" w:date="2026-05-22T00:00:00Z">
        <w:r>
          <w:t xml:space="preserve"> </w:t>
        </w:r>
      </w:ins>
      <w:ins w:id="10112" w:author="Z. Zukowski" w:date="2026-05-22T00:00:00Z">
        <w:r>
          <w:t xml:space="preserve">Compound, Uniswap, and ENS governance systems and document extreme</w:t>
        </w:r>
      </w:ins>
      <w:ins w:id="10112" w:author="Z. Zukowski" w:date="2026-05-22T00:00:00Z">
        <w:r>
          <w:t xml:space="preserve"> </w:t>
        </w:r>
      </w:ins>
      <w:ins w:id="10112" w:author="Z. Zukowski" w:date="2026-05-22T00:00:00Z">
        <w:r>
          <w:t xml:space="preserve">concentration in delegate-level voting power. The cross-protocol</w:t>
        </w:r>
      </w:ins>
      <w:ins w:id="10112" w:author="Z. Zukowski" w:date="2026-05-22T00:00:00Z">
        <w:r>
          <w:t xml:space="preserve"> </w:t>
        </w:r>
      </w:ins>
      <w:ins w:id="10112" w:author="Z. Zukowski" w:date="2026-05-22T00:00:00Z">
        <w:r>
          <w:t xml:space="preserve">comparison reported here spans eighteen protocols across DeFi (Compound,</w:t>
        </w:r>
      </w:ins>
      <w:ins w:id="10112" w:author="Z. Zukowski" w:date="2026-05-22T00:00:00Z">
        <w:r>
          <w:t xml:space="preserve"> </w:t>
        </w:r>
      </w:ins>
      <w:ins w:id="10112" w:author="Z. Zukowski" w:date="2026-05-22T00:00:00Z">
        <w:r>
          <w:t xml:space="preserve">Aave, Uniswap, GMX, Lido, Synthetix, Gnosis), DePIN (DIMO, WeatherXM, Livepeer), and infrastructure</w:t>
        </w:r>
      </w:ins>
      <w:ins w:id="10112" w:author="Z. Zukowski" w:date="2026-05-22T00:00:00Z">
        <w:r>
          <w:t xml:space="preserve"> </w:t>
        </w:r>
      </w:ins>
      <w:ins w:id="10112" w:author="Z. Zukowski" w:date="2026-05-22T00:00:00Z">
        <w:r>
          <w:t xml:space="preserve">(Optimism, Arbitrum, ENS, Bittensor, Polkadot). Amplification factors range from 2.5x (Gnosis)</w:t>
        </w:r>
      </w:ins>
      <w:ins w:id="10112" w:author="Z. Zukowski" w:date="2026-05-22T00:00:00Z">
        <w:r>
          <w:t xml:space="preserve"> </w:t>
        </w:r>
      </w:ins>
      <w:ins w:id="10112" w:author="Z. Zukowski" w:date="2026-05-22T00:00:00Z">
        <w:r>
          <w:t xml:space="preserve">to 25.6x (Polkadot) across the thirteen amplifying protocols; ENS, GMX, HNT, JUP, and LPT are</w:t>
        </w:r>
      </w:ins>
      <w:ins w:id="10112" w:author="Z. Zukowski" w:date="2026-05-22T00:00:00Z">
        <w:r>
          <w:t xml:space="preserve"> </w:t>
        </w:r>
      </w:ins>
      <w:ins w:id="10112" w:author="Z. Zukowski" w:date="2026-05-22T00:00:00Z">
        <w:r>
          <w:t xml:space="preserve">the five structural exceptions (the five dispersion exceptions discussed individually in Sections 4.5.1, 4.5.1.1, and 4.5.4, with per-protocol ratios and descriptors in Table 6). Within the</w:t>
        </w:r>
      </w:ins>
      <w:ins w:id="10112" w:author="Z. Zukowski" w:date="2026-05-22T00:00:00Z">
        <w:r>
          <w:t xml:space="preserve"> </w:t>
        </w:r>
      </w:ins>
      <w:ins w:id="10112" w:author="Z. Zukowski" w:date="2026-05-22T00:00:00Z">
        <w:r>
          <w:t xml:space="preserve">sample, the 2.5x to 25.6x amplification range is distributed across</w:t>
        </w:r>
      </w:ins>
      <w:ins w:id="10112" w:author="Z. Zukowski" w:date="2026-05-22T00:00:00Z">
        <w:r>
          <w:t xml:space="preserve"> </w:t>
        </w:r>
      </w:ins>
      <w:ins w:id="10112" w:author="Z. Zukowski" w:date="2026-05-22T00:00:00Z">
        <w:r>
          <w:t xml:space="preserve">sectors with no clear concentration in any one; sector membership is</w:t>
        </w:r>
      </w:ins>
      <w:ins w:id="10112" w:author="Z. Zukowski" w:date="2026-05-22T00:00:00Z">
        <w:r>
          <w:t xml:space="preserve"> </w:t>
        </w:r>
      </w:ins>
      <w:ins w:id="10112" w:author="Z. Zukowski" w:date="2026-05-22T00:00:00Z">
        <w:r>
          <w:t xml:space="preserve">not associated with how strongly delegation concentrates power.</w:t>
        </w:r>
      </w:ins>
    </w:p>
    <w:p>
      <w:pPr>
        <w:pStyle w:val="BodyText"/>
      </w:pPr>
      <w:ins w:id="10113" w:author="Z. Zukowski" w:date="2026-05-22T00:00:00Z">
        <w:r>
          <w:t xml:space="preserve">The pattern is consistent with the broader claim of this paper: design</w:t>
        </w:r>
      </w:ins>
      <w:ins w:id="10113" w:author="Z. Zukowski" w:date="2026-05-22T00:00:00Z">
        <w:r>
          <w:t xml:space="preserve"> </w:t>
        </w:r>
      </w:ins>
      <w:ins w:id="10113" w:author="Z. Zukowski" w:date="2026-05-22T00:00:00Z">
        <w:r>
          <w:t xml:space="preserve">choices within each delegate program (delegate selection criteria,</w:t>
        </w:r>
      </w:ins>
      <w:ins w:id="10113" w:author="Z. Zukowski" w:date="2026-05-22T00:00:00Z">
        <w:r>
          <w:t xml:space="preserve"> </w:t>
        </w:r>
      </w:ins>
      <w:ins w:id="10113" w:author="Z. Zukowski" w:date="2026-05-22T00:00:00Z">
        <w:r>
          <w:t xml:space="preserve">compensation structure, voting threshold rules) are associated with the magnitude</w:t>
        </w:r>
      </w:ins>
      <w:ins w:id="10113" w:author="Z. Zukowski" w:date="2026-05-22T00:00:00Z">
        <w:r>
          <w:t xml:space="preserve"> </w:t>
        </w:r>
      </w:ins>
      <w:ins w:id="10113" w:author="Z. Zukowski" w:date="2026-05-22T00:00:00Z">
        <w:r>
          <w:t xml:space="preserve">of governance concentration through delegation, while the direction of</w:t>
        </w:r>
      </w:ins>
      <w:ins w:id="10113" w:author="Z. Zukowski" w:date="2026-05-22T00:00:00Z">
        <w:r>
          <w:t xml:space="preserve"> </w:t>
        </w:r>
      </w:ins>
      <w:ins w:id="10113" w:author="Z. Zukowski" w:date="2026-05-22T00:00:00Z">
        <w:r>
          <w:t xml:space="preserve">the effect (concentration above holdings) is the same across sector</w:t>
        </w:r>
      </w:ins>
      <w:ins w:id="10113" w:author="Z. Zukowski" w:date="2026-05-22T00:00:00Z">
        <w:r>
          <w:t xml:space="preserve"> </w:t>
        </w:r>
      </w:ins>
      <w:ins w:id="10113" w:author="Z. Zukowski" w:date="2026-05-22T00:00:00Z">
        <w:r>
          <w:t xml:space="preserve">and governance venue. Whether a protocol concentrates governance power</w:t>
        </w:r>
      </w:ins>
      <w:ins w:id="10113" w:author="Z. Zukowski" w:date="2026-05-22T00:00:00Z">
        <w:r>
          <w:t xml:space="preserve"> </w:t>
        </w:r>
      </w:ins>
      <w:ins w:id="10113" w:author="Z. Zukowski" w:date="2026-05-22T00:00:00Z">
        <w:r>
          <w:t xml:space="preserve">through delegation does not depend on whether it is DeFi, DePIN, or</w:t>
        </w:r>
      </w:ins>
      <w:ins w:id="10113" w:author="Z. Zukowski" w:date="2026-05-22T00:00:00Z">
        <w:r>
          <w:t xml:space="preserve"> </w:t>
        </w:r>
      </w:ins>
      <w:ins w:id="10113" w:author="Z. Zukowski" w:date="2026-05-22T00:00:00Z">
        <w:r>
          <w:t xml:space="preserve">infrastructure. How much it concentrates is shaped by design choices</w:t>
        </w:r>
      </w:ins>
      <w:ins w:id="10113" w:author="Z. Zukowski" w:date="2026-05-22T00:00:00Z">
        <w:r>
          <w:t xml:space="preserve"> </w:t>
        </w:r>
      </w:ins>
      <w:ins w:id="10113" w:author="Z. Zukowski" w:date="2026-05-22T00:00:00Z">
        <w:r>
          <w:t xml:space="preserve">made at the level of the delegate program itself. The amplification</w:t>
        </w:r>
      </w:ins>
      <w:ins w:id="10113" w:author="Z. Zukowski" w:date="2026-05-22T00:00:00Z">
        <w:r>
          <w:t xml:space="preserve"> </w:t>
        </w:r>
      </w:ins>
      <w:ins w:id="10113" w:author="Z. Zukowski" w:date="2026-05-22T00:00:00Z">
        <w:r>
          <w:t xml:space="preserve">ratio carries welfare consequences for DePIN that scale with operator</w:t>
        </w:r>
      </w:ins>
      <w:ins w:id="10113" w:author="Z. Zukowski" w:date="2026-05-22T00:00:00Z">
        <w:r>
          <w:t xml:space="preserve"> </w:t>
        </w:r>
      </w:ins>
      <w:ins w:id="10113" w:author="Z. Zukowski" w:date="2026-05-22T00:00:00Z">
        <w:r>
          <w:t xml:space="preserve">exit costs: hardware deployed for one network is a co-specialized</w:t>
        </w:r>
      </w:ins>
      <w:ins w:id="10113" w:author="Z. Zukowski" w:date="2026-05-22T00:00:00Z">
        <w:r>
          <w:t xml:space="preserve"> </w:t>
        </w:r>
      </w:ins>
      <w:ins w:id="10113" w:author="Z. Zukowski" w:date="2026-05-22T00:00:00Z">
        <w:r>
          <w:t xml:space="preserve">asset that cannot be redeployed to a competing protocol the way</w:t>
        </w:r>
      </w:ins>
      <w:ins w:id="10113" w:author="Z. Zukowski" w:date="2026-05-22T00:00:00Z">
        <w:r>
          <w:t xml:space="preserve"> </w:t>
        </w:r>
      </w:ins>
      <w:ins w:id="10113" w:author="Z. Zukowski" w:date="2026-05-22T00:00:00Z">
        <w:r>
          <w:t xml:space="preserve">liquidity can move between DeFi pools, a form of asset specificity</w:t>
        </w:r>
      </w:ins>
      <w:ins w:id="10113" w:author="Z. Zukowski" w:date="2026-05-22T00:00:00Z">
        <w:r>
          <w:t xml:space="preserve"> </w:t>
        </w:r>
      </w:ins>
      <w:ins w:id="10113" w:author="Z. Zukowski" w:date="2026-05-22T00:00:00Z">
        <w:r>
          <w:t xml:space="preserve">that raises exit costs (Williamson, 1979).</w:t>
        </w:r>
      </w:ins>
    </w:p>
    <w:p>
      <w:pPr>
        <w:pStyle w:val="BodyText"/>
      </w:pPr>
      <w:ins w:id="10114"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ins>
    </w:p>
    <w:p>
      <w:pPr>
        <w:pStyle w:val="BodyText"/>
      </w:pPr>
      <w:ins w:id="10115" w:author="Z. Zukowski" w:date="2026-05-22T00:00:00Z">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ins>
    </w:p>
    <w:p>
      <w:pPr>
        <w:pStyle w:val="BodyText"/>
      </w:pPr>
      <w:ins w:id="10116" w:author="Z. Zukowski" w:date="2026-05-22T00:00:00Z">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116" w:author="Z. Zukowski" w:date="2026-05-22T00:00:00Z">
        <w:r>
          <w:t xml:space="preserve"> </w:t>
        </w:r>
      </w:ins>
      <w:hyperlink r:id="rId68">
        <w:ins w:id="10116" w:author="Z. Zukowski" w:date="2026-05-22T00:00:00Z">
          <w:r>
            <w:rPr>
              <w:rStyle w:val="Hyperlink"/>
            </w:rPr>
            <w:t xml:space="preserve">Supplementary File S14</w:t>
          </w:r>
        </w:ins>
      </w:hyperlink>
      <w:ins w:id="10116" w:author="Z. Zukowski" w:date="2026-05-22T00:00:00Z">
        <w:r>
          <w:t xml:space="preserve">.</w:t>
        </w:r>
      </w:ins>
    </w:p>
    <w:bookmarkStart w:id="69" w:name="X5aa57646c4396d747e0131ec008a4e3f93d4422"/>
    <w:p>
      <w:pPr>
        <w:pStyle w:val="Heading3"/>
      </w:pPr>
      <w:r>
        <w:t xml:space="preserve">4.5.1 ENS as institutional-design counterexample</w:t>
      </w:r>
    </w:p>
    <w:p>
      <w:pPr>
        <w:pStyle w:val="FirstParagraph"/>
      </w:pPr>
      <w:ins w:id="10117" w:author="Z. Zukowski" w:date="2026-05-22T00:00:00Z">
        <w:r>
          <w:t xml:space="preserve">ENS is one of five protocols in the cross-section where delegation</w:t>
        </w:r>
      </w:ins>
      <w:ins w:id="10117" w:author="Z. Zukowski" w:date="2026-05-22T00:00:00Z">
        <w:r>
          <w:t xml:space="preserve"> </w:t>
        </w:r>
      </w:ins>
      <w:ins w:id="10117" w:author="Z. Zukowski" w:date="2026-05-22T00:00:00Z">
        <w:r>
          <w:t xml:space="preserve">empirically disperses voting power below the holding-HHI baseline</w:t>
        </w:r>
      </w:ins>
      <w:ins w:id="10117" w:author="Z. Zukowski" w:date="2026-05-22T00:00:00Z">
        <w:r>
          <w:t xml:space="preserve"> </w:t>
        </w:r>
      </w:ins>
      <w:ins w:id="10117" w:author="Z. Zukowski" w:date="2026-05-22T00:00:00Z">
        <w:r>
          <w:t xml:space="preserve">(ratio 0.48x; voting HHI 0.022 vs holding HHI 0.046, the latter</w:t>
        </w:r>
      </w:ins>
      <w:ins w:id="10117" w:author="Z. Zukowski" w:date="2026-05-22T00:00:00Z">
        <w:r>
          <w:t xml:space="preserve"> </w:t>
        </w:r>
      </w:ins>
      <w:ins w:id="10117" w:author="Z. Zukowski" w:date="2026-05-22T00:00:00Z">
        <w:r>
          <w:t xml:space="preserve">computed after the ENS DAO Wallet and Treasury PCA exclusions</w:t>
        </w:r>
      </w:ins>
      <w:ins w:id="10117" w:author="Z. Zukowski" w:date="2026-05-22T00:00:00Z">
        <w:r>
          <w:t xml:space="preserve"> </w:t>
        </w:r>
      </w:ins>
      <w:ins w:id="10117" w:author="Z. Zukowski" w:date="2026-05-22T00:00:00Z">
        <w:r>
          <w:t xml:space="preserve">codified in Section 3.8). The dispersion case is informative for</w:t>
        </w:r>
      </w:ins>
      <w:ins w:id="10117" w:author="Z. Zukowski" w:date="2026-05-22T00:00:00Z">
        <w:r>
          <w:t xml:space="preserve"> </w:t>
        </w:r>
      </w:ins>
      <w:ins w:id="10117" w:author="Z. Zukowski" w:date="2026-05-22T00:00:00Z">
        <w:r>
          <w:t xml:space="preserve">the framework’s institutional-design thesis because it provides an</w:t>
        </w:r>
      </w:ins>
      <w:ins w:id="10117" w:author="Z. Zukowski" w:date="2026-05-22T00:00:00Z">
        <w:r>
          <w:t xml:space="preserve"> </w:t>
        </w:r>
      </w:ins>
      <w:ins w:id="10117" w:author="Z. Zukowski" w:date="2026-05-22T00:00:00Z">
        <w:r>
          <w:t xml:space="preserve">existence-proof that delegation outcomes are design-tractable rather</w:t>
        </w:r>
      </w:ins>
      <w:ins w:id="10117" w:author="Z. Zukowski" w:date="2026-05-22T00:00:00Z">
        <w:r>
          <w:t xml:space="preserve"> </w:t>
        </w:r>
      </w:ins>
      <w:ins w:id="10117" w:author="Z. Zukowski" w:date="2026-05-22T00:00:00Z">
        <w:r>
          <w:t xml:space="preserve">than mechanism-inevitable. The ENS delegate program funds approximately</w:t>
        </w:r>
      </w:ins>
      <w:ins w:id="10117" w:author="Z. Zukowski" w:date="2026-05-22T00:00:00Z">
        <w:r>
          <w:t xml:space="preserve"> </w:t>
        </w:r>
      </w:ins>
      <w:ins w:id="10117" w:author="Z. Zukowski" w:date="2026-05-22T00:00:00Z">
        <w:r>
          <w:t xml:space="preserve">100 active delegates (including the ENS DAO ecosystem grants for</w:t>
        </w:r>
      </w:ins>
      <w:ins w:id="10117" w:author="Z. Zukowski" w:date="2026-05-22T00:00:00Z">
        <w:r>
          <w:t xml:space="preserve"> </w:t>
        </w:r>
      </w:ins>
      <w:ins w:id="10117" w:author="Z. Zukowski" w:date="2026-05-22T00:00:00Z">
        <w:r>
          <w:t xml:space="preserve">delegate work), and the top-100 delegate voting-power distribution is</w:t>
        </w:r>
      </w:ins>
      <w:ins w:id="10117" w:author="Z. Zukowski" w:date="2026-05-22T00:00:00Z">
        <w:r>
          <w:t xml:space="preserve"> </w:t>
        </w:r>
      </w:ins>
      <w:ins w:id="10117" w:author="Z. Zukowski" w:date="2026-05-22T00:00:00Z">
        <w:r>
          <w:t xml:space="preserve">structurally broader than the holding distribution: top-1 post-exclusion</w:t>
        </w:r>
      </w:ins>
      <w:ins w:id="10117" w:author="Z. Zukowski" w:date="2026-05-22T00:00:00Z">
        <w:r>
          <w:t xml:space="preserve"> </w:t>
        </w:r>
      </w:ins>
      <w:ins w:id="10117" w:author="Z. Zukowski" w:date="2026-05-22T00:00:00Z">
        <w:r>
          <w:t xml:space="preserve">holding share is 16.8 percent while top-1 voting-power share is 12.1 percent</w:t>
        </w:r>
      </w:ins>
      <w:ins w:id="10117" w:author="Z. Zukowski" w:date="2026-05-22T00:00:00Z">
        <w:r>
          <w:t xml:space="preserve"> </w:t>
        </w:r>
      </w:ins>
      <w:ins w:id="10117" w:author="Z. Zukowski" w:date="2026-05-22T00:00:00Z">
        <w:r>
          <w:t xml:space="preserve">(fireeyesdao.eth, a community-elected delegate). Holders systematically</w:t>
        </w:r>
      </w:ins>
      <w:ins w:id="10117" w:author="Z. Zukowski" w:date="2026-05-22T00:00:00Z">
        <w:r>
          <w:t xml:space="preserve"> </w:t>
        </w:r>
      </w:ins>
      <w:ins w:id="10117" w:author="Z. Zukowski" w:date="2026-05-22T00:00:00Z">
        <w:r>
          <w:t xml:space="preserve">delegate to a broader community-delegate set rather than self-delegating</w:t>
        </w:r>
      </w:ins>
      <w:ins w:id="10117" w:author="Z. Zukowski" w:date="2026-05-22T00:00:00Z">
        <w:r>
          <w:t xml:space="preserve"> </w:t>
        </w:r>
      </w:ins>
      <w:ins w:id="10117" w:author="Z. Zukowski" w:date="2026-05-22T00:00:00Z">
        <w:r>
          <w:t xml:space="preserve">or delegating to whales.</w:t>
        </w:r>
      </w:ins>
    </w:p>
    <w:p>
      <w:pPr>
        <w:pStyle w:val="BodyText"/>
      </w:pPr>
      <w:ins w:id="10118" w:author="Z. Zukowski" w:date="2026-05-22T00:00:00Z">
        <w:r>
          <w:t xml:space="preserve">The ENS + GMX + HNT + JUP dispersion findings contrast with the thirteen protocols where delegation</w:t>
        </w:r>
      </w:ins>
      <w:ins w:id="10118" w:author="Z. Zukowski" w:date="2026-05-22T00:00:00Z">
        <w:r>
          <w:t xml:space="preserve"> </w:t>
        </w:r>
      </w:ins>
      <w:ins w:id="10118" w:author="Z. Zukowski" w:date="2026-05-22T00:00:00Z">
        <w:r>
          <w:t xml:space="preserve">amplifies: in those protocols, the top-delegate identity is typically</w:t>
        </w:r>
      </w:ins>
      <w:ins w:id="10118" w:author="Z. Zukowski" w:date="2026-05-22T00:00:00Z">
        <w:r>
          <w:t xml:space="preserve"> </w:t>
        </w:r>
      </w:ins>
      <w:ins w:id="10118" w:author="Z. Zukowski" w:date="2026-05-22T00:00:00Z">
        <w:r>
          <w:t xml:space="preserve">either the protocol foundation itself, a staking-aggregation contract</w:t>
        </w:r>
      </w:ins>
      <w:ins w:id="10118" w:author="Z. Zukowski" w:date="2026-05-22T00:00:00Z">
        <w:r>
          <w:t xml:space="preserve"> </w:t>
        </w:r>
      </w:ins>
      <w:ins w:id="10118" w:author="Z. Zukowski" w:date="2026-05-22T00:00:00Z">
        <w:r>
          <w:t xml:space="preserve">that aggregates underlying staker voting power, or an institutional</w:t>
        </w:r>
      </w:ins>
      <w:ins w:id="10118" w:author="Z. Zukowski" w:date="2026-05-22T00:00:00Z">
        <w:r>
          <w:t xml:space="preserve"> </w:t>
        </w:r>
      </w:ins>
      <w:ins w:id="10118" w:author="Z. Zukowski" w:date="2026-05-22T00:00:00Z">
        <w:r>
          <w:t xml:space="preserve">delegate firm (see Section 4.5.3). The structural pattern across the</w:t>
        </w:r>
      </w:ins>
      <w:ins w:id="10118" w:author="Z. Zukowski" w:date="2026-05-22T00:00:00Z">
        <w:r>
          <w:t xml:space="preserve"> </w:t>
        </w:r>
      </w:ins>
      <w:ins w:id="10118" w:author="Z. Zukowski" w:date="2026-05-22T00:00:00Z">
        <w:r>
          <w:t xml:space="preserve">eighteen-protocol sample is consistent with the framework’s thesis that</w:t>
        </w:r>
      </w:ins>
      <w:ins w:id="10118" w:author="Z. Zukowski" w:date="2026-05-22T00:00:00Z">
        <w:r>
          <w:t xml:space="preserve"> </w:t>
        </w:r>
      </w:ins>
      <w:ins w:id="10118" w:author="Z. Zukowski" w:date="2026-05-22T00:00:00Z">
        <w:r>
          <w:t xml:space="preserve">institutional design at the delegate-program level governs the</w:t>
        </w:r>
      </w:ins>
      <w:ins w:id="10118" w:author="Z. Zukowski" w:date="2026-05-22T00:00:00Z">
        <w:r>
          <w:t xml:space="preserve"> </w:t>
        </w:r>
      </w:ins>
      <w:ins w:id="10118" w:author="Z. Zukowski" w:date="2026-05-22T00:00:00Z">
        <w:r>
          <w:t xml:space="preserve">direction of delegation’s effect on voting concentration. The</w:t>
        </w:r>
      </w:ins>
      <w:ins w:id="10118" w:author="Z. Zukowski" w:date="2026-05-22T00:00:00Z">
        <w:r>
          <w:t xml:space="preserve"> </w:t>
        </w:r>
      </w:ins>
      <w:ins w:id="10118" w:author="Z. Zukowski" w:date="2026-05-22T00:00:00Z">
        <w:r>
          <w:t xml:space="preserve">generalizable design recommendation: delegate-program architectures</w:t>
        </w:r>
      </w:ins>
      <w:ins w:id="10118" w:author="Z. Zukowski" w:date="2026-05-22T00:00:00Z">
        <w:r>
          <w:t xml:space="preserve"> </w:t>
        </w:r>
      </w:ins>
      <w:ins w:id="10118" w:author="Z. Zukowski" w:date="2026-05-22T00:00:00Z">
        <w:r>
          <w:t xml:space="preserve">that incentivize broad community-delegate distribution (recurring</w:t>
        </w:r>
      </w:ins>
      <w:ins w:id="10118" w:author="Z. Zukowski" w:date="2026-05-22T00:00:00Z">
        <w:r>
          <w:t xml:space="preserve"> </w:t>
        </w:r>
      </w:ins>
      <w:ins w:id="10118" w:author="Z. Zukowski" w:date="2026-05-22T00:00:00Z">
        <w:r>
          <w:t xml:space="preserve">delegate compensation; public delegate platforms; active recruitment;</w:t>
        </w:r>
      </w:ins>
      <w:ins w:id="10118" w:author="Z. Zukowski" w:date="2026-05-22T00:00:00Z">
        <w:r>
          <w:t xml:space="preserve"> </w:t>
        </w:r>
      </w:ins>
      <w:ins w:id="10118" w:author="Z. Zukowski" w:date="2026-05-22T00:00:00Z">
        <w:r>
          <w:t xml:space="preserve">operational support for non-whale delegates) can produce</w:t>
        </w:r>
      </w:ins>
      <w:ins w:id="10118" w:author="Z. Zukowski" w:date="2026-05-22T00:00:00Z">
        <w:r>
          <w:t xml:space="preserve"> </w:t>
        </w:r>
      </w:ins>
      <w:ins w:id="10118" w:author="Z. Zukowski" w:date="2026-05-22T00:00:00Z">
        <w:r>
          <w:t xml:space="preserve">delegation-mediated dispersion of voting power, contrary to the</w:t>
        </w:r>
      </w:ins>
      <w:ins w:id="10118" w:author="Z. Zukowski" w:date="2026-05-22T00:00:00Z">
        <w:r>
          <w:t xml:space="preserve"> </w:t>
        </w:r>
      </w:ins>
      <w:ins w:id="10118" w:author="Z. Zukowski" w:date="2026-05-22T00:00:00Z">
        <w:r>
          <w:t xml:space="preserve">default-amplification pattern documented across most token-governance</w:t>
        </w:r>
      </w:ins>
      <w:ins w:id="10118" w:author="Z. Zukowski" w:date="2026-05-22T00:00:00Z">
        <w:r>
          <w:t xml:space="preserve"> </w:t>
        </w:r>
      </w:ins>
      <w:ins w:id="10118" w:author="Z. Zukowski" w:date="2026-05-22T00:00:00Z">
        <w:r>
          <w:t xml:space="preserve">protocols.</w:t>
        </w:r>
      </w:ins>
    </w:p>
    <w:bookmarkEnd w:id="69"/>
    <w:bookmarkStart w:id="70" w:name="X9fcf0ef5ce105e5e185fef53023ce34bfa2fb8a"/>
    <w:p>
      <w:pPr>
        <w:pStyle w:val="Heading3"/>
      </w:pPr>
      <w:r>
        <w:t xml:space="preserve">4.5.1.1 GMX as a structural-exception counterexample</w:t>
      </w:r>
    </w:p>
    <w:p>
      <w:pPr>
        <w:pStyle w:val="FirstParagraph"/>
      </w:pPr>
      <w:ins w:id="10119" w:author="Z. Zukowski" w:date="2026-05-22T00:00:00Z">
        <w:r>
          <w:t xml:space="preserve">GMX is another of the five protocols in the cross-section where delegation</w:t>
        </w:r>
      </w:ins>
      <w:ins w:id="10119" w:author="Z. Zukowski" w:date="2026-05-22T00:00:00Z">
        <w:r>
          <w:t xml:space="preserve"> </w:t>
        </w:r>
      </w:ins>
      <w:ins w:id="10119" w:author="Z. Zukowski" w:date="2026-05-22T00:00:00Z">
        <w:r>
          <w:t xml:space="preserve">empirically disperses voting power below the holding-HHI baseline</w:t>
        </w:r>
      </w:ins>
      <w:ins w:id="10119" w:author="Z. Zukowski" w:date="2026-05-22T00:00:00Z">
        <w:r>
          <w:t xml:space="preserve"> </w:t>
        </w:r>
      </w:ins>
      <w:ins w:id="10119" w:author="Z. Zukowski" w:date="2026-05-22T00:00:00Z">
        <w:r>
          <w:t xml:space="preserve">(ratio 0.87x; voting HHI 0.057 vs holding HHI 0.065, the latter</w:t>
        </w:r>
      </w:ins>
      <w:ins w:id="10119" w:author="Z. Zukowski" w:date="2026-05-22T00:00:00Z">
        <w:r>
          <w:t xml:space="preserve"> </w:t>
        </w:r>
      </w:ins>
      <w:ins w:id="10119" w:author="Z. Zukowski" w:date="2026-05-22T00:00:00Z">
        <w:r>
          <w:t xml:space="preserve">computed after the universal burn-rule exclusion plus GMX-specific</w:t>
        </w:r>
      </w:ins>
      <w:ins w:id="10119" w:author="Z. Zukowski" w:date="2026-05-22T00:00:00Z">
        <w:r>
          <w:t xml:space="preserve"> </w:t>
        </w:r>
      </w:ins>
      <w:ins w:id="10119" w:author="Z. Zukowski" w:date="2026-05-22T00:00:00Z">
        <w:r>
          <w:t xml:space="preserve">Binance-custody exclusions codified in Section 3.8). The</w:t>
        </w:r>
      </w:ins>
      <w:ins w:id="10119" w:author="Z. Zukowski" w:date="2026-05-22T00:00:00Z">
        <w:r>
          <w:t xml:space="preserve"> </w:t>
        </w:r>
      </w:ins>
      <w:ins w:id="10119" w:author="Z. Zukowski" w:date="2026-05-22T00:00:00Z">
        <w:r>
          <w:t xml:space="preserve">dispersion case is methodology-sensitive: at a top-100 delegate sample</w:t>
        </w:r>
      </w:ins>
      <w:ins w:id="10119" w:author="Z. Zukowski" w:date="2026-05-22T00:00:00Z">
        <w:r>
          <w:t xml:space="preserve"> </w:t>
        </w:r>
      </w:ins>
      <w:ins w:id="10119" w:author="Z. Zukowski" w:date="2026-05-22T00:00:00Z">
        <w:r>
          <w:t xml:space="preserve">GMX appears to amplify at 1.2x, while at the canonical top-1,000 sample</w:t>
        </w:r>
      </w:ins>
      <w:ins w:id="10119" w:author="Z. Zukowski" w:date="2026-05-22T00:00:00Z">
        <w:r>
          <w:t xml:space="preserve"> </w:t>
        </w:r>
      </w:ins>
      <w:ins w:id="10119" w:author="Z. Zukowski" w:date="2026-05-22T00:00:00Z">
        <w:r>
          <w:t xml:space="preserve">the broader delegate distribution surfaces voting-power-share tails</w:t>
        </w:r>
      </w:ins>
      <w:ins w:id="10119" w:author="Z. Zukowski" w:date="2026-05-22T00:00:00Z">
        <w:r>
          <w:t xml:space="preserve"> </w:t>
        </w:r>
      </w:ins>
      <w:ins w:id="10119" w:author="Z. Zukowski" w:date="2026-05-22T00:00:00Z">
        <w:r>
          <w:t xml:space="preserve">less concentrated than the holding-share tail at the same sampling</w:t>
        </w:r>
      </w:ins>
      <w:ins w:id="10119" w:author="Z. Zukowski" w:date="2026-05-22T00:00:00Z">
        <w:r>
          <w:t xml:space="preserve"> </w:t>
        </w:r>
      </w:ins>
      <w:ins w:id="10119" w:author="Z. Zukowski" w:date="2026-05-22T00:00:00Z">
        <w:r>
          <w:t xml:space="preserve">depth. The crossover from amplification (1.2x at N = 100) to dispersion</w:t>
        </w:r>
      </w:ins>
      <w:ins w:id="10119" w:author="Z. Zukowski" w:date="2026-05-22T00:00:00Z">
        <w:r>
          <w:t xml:space="preserve"> </w:t>
        </w:r>
      </w:ins>
      <w:ins w:id="10119" w:author="Z. Zukowski" w:date="2026-05-22T00:00:00Z">
        <w:r>
          <w:t xml:space="preserve">(0.87x at N = 1,000) indicates that GMX top-100 amplification readings</w:t>
        </w:r>
      </w:ins>
      <w:ins w:id="10119" w:author="Z. Zukowski" w:date="2026-05-22T00:00:00Z">
        <w:r>
          <w:t xml:space="preserve"> </w:t>
        </w:r>
      </w:ins>
      <w:ins w:id="10119" w:author="Z. Zukowski" w:date="2026-05-22T00:00:00Z">
        <w:r>
          <w:t xml:space="preserve">are sampling-depth artifacts rather than stable properties of the</w:t>
        </w:r>
      </w:ins>
      <w:ins w:id="10119" w:author="Z. Zukowski" w:date="2026-05-22T00:00:00Z">
        <w:r>
          <w:t xml:space="preserve"> </w:t>
        </w:r>
      </w:ins>
      <w:ins w:id="10119" w:author="Z. Zukowski" w:date="2026-05-22T00:00:00Z">
        <w:r>
          <w:t xml:space="preserve">underlying delegate-program design; the top-1,000 sample better captures</w:t>
        </w:r>
      </w:ins>
      <w:ins w:id="10119" w:author="Z. Zukowski" w:date="2026-05-22T00:00:00Z">
        <w:r>
          <w:t xml:space="preserve"> </w:t>
        </w:r>
      </w:ins>
      <w:ins w:id="10119" w:author="Z. Zukowski" w:date="2026-05-22T00:00:00Z">
        <w:r>
          <w:t xml:space="preserve">the actual voting-power distribution.</w:t>
        </w:r>
      </w:ins>
    </w:p>
    <w:p>
      <w:pPr>
        <w:pStyle w:val="BodyText"/>
      </w:pPr>
      <w:ins w:id="10120" w:author="Z. Zukowski" w:date="2026-05-22T00:00:00Z">
        <w:r>
          <w:t xml:space="preserve">The finding strengthens the framework’s institutional-design thesis: GMX’s</w:t>
        </w:r>
      </w:ins>
      <w:ins w:id="10120" w:author="Z. Zukowski" w:date="2026-05-22T00:00:00Z">
        <w:r>
          <w:t xml:space="preserve"> </w:t>
        </w:r>
      </w:ins>
      <w:ins w:id="10120" w:author="Z. Zukowski" w:date="2026-05-22T00:00:00Z">
        <w:r>
          <w:t xml:space="preserve">delegate program is observably broader than its holder concentration</w:t>
        </w:r>
      </w:ins>
      <w:ins w:id="10120" w:author="Z. Zukowski" w:date="2026-05-22T00:00:00Z">
        <w:r>
          <w:t xml:space="preserve"> </w:t>
        </w:r>
      </w:ins>
      <w:ins w:id="10120" w:author="Z. Zukowski" w:date="2026-05-22T00:00:00Z">
        <w:r>
          <w:t xml:space="preserve">when measured at appropriate sampling depth, consistent with the</w:t>
        </w:r>
      </w:ins>
      <w:ins w:id="10120" w:author="Z. Zukowski" w:date="2026-05-22T00:00:00Z">
        <w:r>
          <w:t xml:space="preserve"> </w:t>
        </w:r>
      </w:ins>
      <w:ins w:id="10120" w:author="Z. Zukowski" w:date="2026-05-22T00:00:00Z">
        <w:r>
          <w:t xml:space="preserve">mature-delegate-program pattern documented at ENS (Section 4.5.1) at</w:t>
        </w:r>
      </w:ins>
      <w:ins w:id="10120" w:author="Z. Zukowski" w:date="2026-05-22T00:00:00Z">
        <w:r>
          <w:t xml:space="preserve"> </w:t>
        </w:r>
      </w:ins>
      <w:ins w:id="10120" w:author="Z. Zukowski" w:date="2026-05-22T00:00:00Z">
        <w:r>
          <w:t xml:space="preserve">a different concentration level. The five structural-exception cases</w:t>
        </w:r>
      </w:ins>
      <w:ins w:id="10120" w:author="Z. Zukowski" w:date="2026-05-22T00:00:00Z">
        <w:r>
          <w:t xml:space="preserve"> </w:t>
        </w:r>
      </w:ins>
      <w:ins w:id="10120" w:author="Z. Zukowski" w:date="2026-05-22T00:00:00Z">
        <w:r>
          <w:t xml:space="preserve">(the five dispersion exceptions, Table 6) together preserve the dispersion pattern</w:t>
        </w:r>
      </w:ins>
      <w:ins w:id="10120" w:author="Z. Zukowski" w:date="2026-05-22T00:00:00Z">
        <w:r>
          <w:t xml:space="preserve"> </w:t>
        </w:r>
      </w:ins>
      <w:ins w:id="10120" w:author="Z. Zukowski" w:date="2026-05-22T00:00:00Z">
        <w:r>
          <w:t xml:space="preserve">as informative counterexamples to the predominant-amplification thesis</w:t>
        </w:r>
      </w:ins>
      <w:ins w:id="10120" w:author="Z. Zukowski" w:date="2026-05-22T00:00:00Z">
        <w:r>
          <w:t xml:space="preserve"> </w:t>
        </w:r>
      </w:ins>
      <w:ins w:id="10120" w:author="Z. Zukowski" w:date="2026-05-22T00:00:00Z">
        <w:r>
          <w:t xml:space="preserve">rather than refuting the broader argument that token-weighted</w:t>
        </w:r>
      </w:ins>
      <w:ins w:id="10120" w:author="Z. Zukowski" w:date="2026-05-22T00:00:00Z">
        <w:r>
          <w:t xml:space="preserve"> </w:t>
        </w:r>
      </w:ins>
      <w:ins w:id="10120" w:author="Z. Zukowski" w:date="2026-05-22T00:00:00Z">
        <w:r>
          <w:t xml:space="preserve">delegation predominantly concentrates voting power above holdings.</w:t>
        </w:r>
      </w:ins>
    </w:p>
    <w:bookmarkEnd w:id="70"/>
    <w:bookmarkStart w:id="71" w:name="X8d1154e760574033fc3a8977858a046cb4bc3d4"/>
    <w:p>
      <w:pPr>
        <w:pStyle w:val="Heading3"/>
      </w:pPr>
      <w:ins w:id="10121" w:author="Z. Zukowski" w:date="2026-05-22T00:00:00Z">
        <w:r>
          <w:t xml:space="preserve">4.5.2 Secondary extension: vote-escrowed governance</w:t>
        </w:r>
      </w:ins>
    </w:p>
    <w:p>
      <w:pPr>
        <w:pStyle w:val="FirstParagraph"/>
      </w:pPr>
      <w:ins w:id="10122" w:author="Z. Zukowski" w:date="2026-05-22T00:00:00Z">
        <w:r>
          <w:t xml:space="preserve">Three protocols using vote-escrowed governance (Curve veCRV; Balancer</w:t>
        </w:r>
      </w:ins>
      <w:ins w:id="10122" w:author="Z. Zukowski" w:date="2026-05-22T00:00:00Z">
        <w:r>
          <w:t xml:space="preserve"> </w:t>
        </w:r>
      </w:ins>
      <w:ins w:id="10122" w:author="Z. Zukowski" w:date="2026-05-22T00:00:00Z">
        <w:r>
          <w:t xml:space="preserve">veBAL; Frax veFXS) form a distinct extreme-amplification class that operates</w:t>
        </w:r>
      </w:ins>
      <w:ins w:id="10122" w:author="Z. Zukowski" w:date="2026-05-22T00:00:00Z">
        <w:r>
          <w:t xml:space="preserve"> </w:t>
        </w:r>
      </w:ins>
      <w:ins w:id="10122" w:author="Z. Zukowski" w:date="2026-05-22T00:00:00Z">
        <w:r>
          <w:t xml:space="preserve">through structurally different mechanisms than the delegate-based</w:t>
        </w:r>
      </w:ins>
      <w:ins w:id="10122" w:author="Z. Zukowski" w:date="2026-05-22T00:00:00Z">
        <w:r>
          <w:t xml:space="preserve"> </w:t>
        </w:r>
      </w:ins>
      <w:ins w:id="10122" w:author="Z. Zukowski" w:date="2026-05-22T00:00:00Z">
        <w:r>
          <w:t xml:space="preserve">amplification documented in the Table 6 sample. Curve’s veCRV system</w:t>
        </w:r>
      </w:ins>
      <w:ins w:id="10122" w:author="Z. Zukowski" w:date="2026-05-22T00:00:00Z">
        <w:r>
          <w:t xml:space="preserve"> </w:t>
        </w:r>
      </w:ins>
      <w:ins w:id="10122" w:author="Z. Zukowski" w:date="2026-05-22T00:00:00Z">
        <w:r>
          <w:t xml:space="preserve">locks CRV for up to four years; lock-duration multipliers convert</w:t>
        </w:r>
      </w:ins>
      <w:ins w:id="10122" w:author="Z. Zukowski" w:date="2026-05-22T00:00:00Z">
        <w:r>
          <w:t xml:space="preserve"> </w:t>
        </w:r>
      </w:ins>
      <w:ins w:id="10122" w:author="Z. Zukowski" w:date="2026-05-22T00:00:00Z">
        <w:r>
          <w:t xml:space="preserve">locked CRV into proportional veCRV voting power, with longer locks</w:t>
        </w:r>
      </w:ins>
      <w:ins w:id="10122" w:author="Z. Zukowski" w:date="2026-05-22T00:00:00Z">
        <w:r>
          <w:t xml:space="preserve"> </w:t>
        </w:r>
      </w:ins>
      <w:ins w:id="10122" w:author="Z. Zukowski" w:date="2026-05-22T00:00:00Z">
        <w:r>
          <w:t xml:space="preserve">weighted more heavily. Convex (the dominant meta-governance protocol</w:t>
        </w:r>
      </w:ins>
      <w:ins w:id="10122" w:author="Z. Zukowski" w:date="2026-05-22T00:00:00Z">
        <w:r>
          <w:t xml:space="preserve"> </w:t>
        </w:r>
      </w:ins>
      <w:ins w:id="10122" w:author="Z. Zukowski" w:date="2026-05-22T00:00:00Z">
        <w:r>
          <w:t xml:space="preserve">for Curve) aggregates user-deposited CRV into a single locked position</w:t>
        </w:r>
      </w:ins>
      <w:ins w:id="10122" w:author="Z. Zukowski" w:date="2026-05-22T00:00:00Z">
        <w:r>
          <w:t xml:space="preserve"> </w:t>
        </w:r>
      </w:ins>
      <w:ins w:id="10122" w:author="Z. Zukowski" w:date="2026-05-22T00:00:00Z">
        <w:r>
          <w:t xml:space="preserve">that votes as a meta-governance layer; Convex holds approximately 48</w:t>
        </w:r>
      </w:ins>
      <w:ins w:id="10122" w:author="Z. Zukowski" w:date="2026-05-22T00:00:00Z">
        <w:r>
          <w:t xml:space="preserve"> </w:t>
        </w:r>
      </w:ins>
      <w:ins w:id="10122" w:author="Z. Zukowski" w:date="2026-05-22T00:00:00Z">
        <w:r>
          <w:t xml:space="preserve">percent of the top-50 historical veCRV deposit-weighted share per the</w:t>
        </w:r>
      </w:ins>
      <w:ins w:id="10122" w:author="Z. Zukowski" w:date="2026-05-22T00:00:00Z">
        <w:r>
          <w:t xml:space="preserve"> </w:t>
        </w:r>
      </w:ins>
      <w:ins w:id="10122" w:author="Z. Zukowski" w:date="2026-05-22T00:00:00Z">
        <w:r>
          <w:t xml:space="preserve">direct cumulative-deposit computation (Section 4.5.2; supplementary file</w:t>
        </w:r>
      </w:ins>
      <w:ins w:id="10122" w:author="Z. Zukowski" w:date="2026-05-22T00:00:00Z">
        <w:r>
          <w:t xml:space="preserve"> </w:t>
        </w:r>
      </w:ins>
      <w:ins w:id="10122" w:author="Z. Zukowski" w:date="2026-05-22T00:00:00Z">
        <w:r>
          <w:t xml:space="preserve">veCRV_voting_concentration). The resulting veCRV</w:t>
        </w:r>
      </w:ins>
      <w:ins w:id="10122" w:author="Z. Zukowski" w:date="2026-05-22T00:00:00Z">
        <w:r>
          <w:t xml:space="preserve"> </w:t>
        </w:r>
      </w:ins>
      <w:ins w:id="10122" w:author="Z. Zukowski" w:date="2026-05-22T00:00:00Z">
        <w:r>
          <w:t xml:space="preserve">voting concentration (HHI 0.26 from cumulative-deposit aggregation</w:t>
        </w:r>
      </w:ins>
      <w:ins w:id="10122" w:author="Z. Zukowski" w:date="2026-05-22T00:00:00Z">
        <w:r>
          <w:t xml:space="preserve"> </w:t>
        </w:r>
      </w:ins>
      <w:ins w:id="10122" w:author="Z. Zukowski" w:date="2026-05-22T00:00:00Z">
        <w:r>
          <w:t xml:space="preserve">across top-50 lockers) is approximately 15 times the raw post-Convex-</w:t>
        </w:r>
      </w:ins>
      <w:ins w:id="10122" w:author="Z. Zukowski" w:date="2026-05-22T00:00:00Z">
        <w:r>
          <w:t xml:space="preserve"> </w:t>
        </w:r>
      </w:ins>
      <w:ins w:id="10122" w:author="Z. Zukowski" w:date="2026-05-22T00:00:00Z">
        <w:r>
          <w:t xml:space="preserve">exclusion CRV holding HHI of 0.014.</w:t>
        </w:r>
      </w:ins>
    </w:p>
    <w:p>
      <w:pPr>
        <w:pStyle w:val="BodyText"/>
      </w:pPr>
      <w:ins w:id="10123" w:author="Z. Zukowski" w:date="2026-05-22T00:00:00Z">
        <w:r>
          <w:t xml:space="preserve">Balancer’s veBAL system exhibits a structurally identical pattern:</w:t>
        </w:r>
      </w:ins>
      <w:ins w:id="10123" w:author="Z. Zukowski" w:date="2026-05-22T00:00:00Z">
        <w:r>
          <w:t xml:space="preserve"> </w:t>
        </w:r>
      </w:ins>
      <w:ins w:id="10123" w:author="Z. Zukowski" w:date="2026-05-22T00:00:00Z">
        <w:r>
          <w:t xml:space="preserve">Snapshot voting on Balancer’s governance space (12-month lookback;</w:t>
        </w:r>
      </w:ins>
      <w:ins w:id="10123" w:author="Z. Zukowski" w:date="2026-05-22T00:00:00Z">
        <w:r>
          <w:t xml:space="preserve"> </w:t>
        </w:r>
      </w:ins>
      <w:ins w:id="10123" w:author="Z. Zukowski" w:date="2026-05-22T00:00:00Z">
        <w:r>
          <w:t xml:space="preserve">36 active voters) yields voting HHI 0.626 against holding HHI 0.030,</w:t>
        </w:r>
      </w:ins>
      <w:ins w:id="10123" w:author="Z. Zukowski" w:date="2026-05-22T00:00:00Z">
        <w:r>
          <w:t xml:space="preserve"> </w:t>
        </w:r>
      </w:ins>
      <w:ins w:id="10123" w:author="Z. Zukowski" w:date="2026-05-22T00:00:00Z">
        <w:r>
          <w:t xml:space="preserve">a 21x amplification ratio. The top-1 active voter holds 78 percent of</w:t>
        </w:r>
      </w:ins>
      <w:ins w:id="10123" w:author="Z. Zukowski" w:date="2026-05-22T00:00:00Z">
        <w:r>
          <w:t xml:space="preserve"> </w:t>
        </w:r>
      </w:ins>
      <w:ins w:id="10123" w:author="Z. Zukowski" w:date="2026-05-22T00:00:00Z">
        <w:r>
          <w:t xml:space="preserve">total voting power; the top-10 voters cumulatively hold 99.85 percent.</w:t>
        </w:r>
      </w:ins>
      <w:ins w:id="10123" w:author="Z. Zukowski" w:date="2026-05-22T00:00:00Z">
        <w:r>
          <w:t xml:space="preserve"> </w:t>
        </w:r>
      </w:ins>
      <w:ins w:id="10123" w:author="Z. Zukowski" w:date="2026-05-22T00:00:00Z">
        <w:r>
          <w:t xml:space="preserve">The Aura Finance protocol (Balancer’s Convex-equivalent</w:t>
        </w:r>
      </w:ins>
      <w:ins w:id="10123" w:author="Z. Zukowski" w:date="2026-05-22T00:00:00Z">
        <w:r>
          <w:t xml:space="preserve"> </w:t>
        </w:r>
      </w:ins>
      <w:ins w:id="10123" w:author="Z. Zukowski" w:date="2026-05-22T00:00:00Z">
        <w:r>
          <w:t xml:space="preserve">meta-governance aggregator) plays the same role for veBAL that Convex</w:t>
        </w:r>
      </w:ins>
      <w:ins w:id="10123" w:author="Z. Zukowski" w:date="2026-05-22T00:00:00Z">
        <w:r>
          <w:t xml:space="preserve"> </w:t>
        </w:r>
      </w:ins>
      <w:ins w:id="10123" w:author="Z. Zukowski" w:date="2026-05-22T00:00:00Z">
        <w:r>
          <w:t xml:space="preserve">plays for veCRV.</w:t>
        </w:r>
      </w:ins>
    </w:p>
    <w:p>
      <w:pPr>
        <w:pStyle w:val="BodyText"/>
      </w:pPr>
      <w:ins w:id="10124"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25" w:author="Z. Zukowski" w:date="2026-05-22T00:00:00Z">
        <w:r>
          <w:t xml:space="preserve">The veCRV and veBAL cases are not included in the Table 6 row set</w:t>
        </w:r>
      </w:ins>
      <w:ins w:id="10125" w:author="Z. Zukowski" w:date="2026-05-22T00:00:00Z">
        <w:r>
          <w:t xml:space="preserve"> </w:t>
        </w:r>
      </w:ins>
      <w:ins w:id="10125" w:author="Z. Zukowski" w:date="2026-05-22T00:00:00Z">
        <w:r>
          <w:t xml:space="preserve">because the underlying methodology differs: Table 6 measures HHI of</w:t>
        </w:r>
      </w:ins>
      <w:ins w:id="10125" w:author="Z. Zukowski" w:date="2026-05-22T00:00:00Z">
        <w:r>
          <w:t xml:space="preserve"> </w:t>
        </w:r>
      </w:ins>
      <w:ins w:id="10125" w:author="Z. Zukowski" w:date="2026-05-22T00:00:00Z">
        <w:r>
          <w:t xml:space="preserve">delegate voting power within token-governance delegate programs; the</w:t>
        </w:r>
      </w:ins>
      <w:ins w:id="10125" w:author="Z. Zukowski" w:date="2026-05-22T00:00:00Z">
        <w:r>
          <w:t xml:space="preserve"> </w:t>
        </w:r>
      </w:ins>
      <w:ins w:id="10125" w:author="Z. Zukowski" w:date="2026-05-22T00:00:00Z">
        <w:r>
          <w:t xml:space="preserve">ve-token cases measure HHI of lock-duration-weighted CRV/BAL</w:t>
        </w:r>
      </w:ins>
      <w:ins w:id="10125" w:author="Z. Zukowski" w:date="2026-05-22T00:00:00Z">
        <w:r>
          <w:t xml:space="preserve"> </w:t>
        </w:r>
      </w:ins>
      <w:ins w:id="10125" w:author="Z. Zukowski" w:date="2026-05-22T00:00:00Z">
        <w:r>
          <w:t xml:space="preserve">deposits, with meta-governance aggregation. The two mechanism classes</w:t>
        </w:r>
      </w:ins>
      <w:ins w:id="10125" w:author="Z. Zukowski" w:date="2026-05-22T00:00:00Z">
        <w:r>
          <w:t xml:space="preserve"> </w:t>
        </w:r>
      </w:ins>
      <w:ins w:id="10125" w:author="Z. Zukowski" w:date="2026-05-22T00:00:00Z">
        <w:r>
          <w:t xml:space="preserve">produce concentration through different paths but converge on the</w:t>
        </w:r>
      </w:ins>
      <w:ins w:id="10125" w:author="Z. Zukowski" w:date="2026-05-22T00:00:00Z">
        <w:r>
          <w:t xml:space="preserve"> </w:t>
        </w:r>
      </w:ins>
      <w:ins w:id="10125" w:author="Z. Zukowski" w:date="2026-05-22T00:00:00Z">
        <w:r>
          <w:t xml:space="preserve">same direction (amplification) with much larger magnitudes (11.4x to 21x versus the 2.7x to 9.9x range observed in delegate-program-based amplification). For practitioners designing token governance, the</w:t>
        </w:r>
      </w:ins>
      <w:ins w:id="10125" w:author="Z. Zukowski" w:date="2026-05-22T00:00:00Z">
        <w:r>
          <w:t xml:space="preserve"> </w:t>
        </w:r>
      </w:ins>
      <w:ins w:id="10125" w:author="Z. Zukowski" w:date="2026-05-22T00:00:00Z">
        <w:r>
          <w:t xml:space="preserve">ve-token class is a separate design choice with substantially</w:t>
        </w:r>
      </w:ins>
      <w:ins w:id="10125" w:author="Z. Zukowski" w:date="2026-05-22T00:00:00Z">
        <w:r>
          <w:t xml:space="preserve"> </w:t>
        </w:r>
      </w:ins>
      <w:ins w:id="10125" w:author="Z. Zukowski" w:date="2026-05-22T00:00:00Z">
        <w:r>
          <w:t xml:space="preserve">different concentration implications than standard delegate-program</w:t>
        </w:r>
      </w:ins>
      <w:ins w:id="10125" w:author="Z. Zukowski" w:date="2026-05-22T00:00:00Z">
        <w:r>
          <w:t xml:space="preserve"> </w:t>
        </w:r>
      </w:ins>
      <w:ins w:id="10125" w:author="Z. Zukowski" w:date="2026-05-22T00:00:00Z">
        <w:r>
          <w:t xml:space="preserve">governance.</w:t>
        </w:r>
      </w:ins>
    </w:p>
    <w:bookmarkEnd w:id="71"/>
    <w:bookmarkStart w:id="72" w:name="Xfa73bc062c432381afdcb5f5da2b521607734ad"/>
    <w:p>
      <w:pPr>
        <w:pStyle w:val="Heading3"/>
      </w:pPr>
      <w:ins w:id="10126" w:author="Z. Zukowski" w:date="2026-05-22T00:00:00Z">
        <w:r>
          <w:t xml:space="preserve">4.5.3 Foundation and aggregation-contract top-delegate pattern</w:t>
        </w:r>
      </w:ins>
    </w:p>
    <w:p>
      <w:pPr>
        <w:pStyle w:val="FirstParagraph"/>
      </w:pPr>
      <w:ins w:id="10127"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28"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2"/>
    <w:bookmarkStart w:id="73" w:name="X707d03bedcfa0a0365b91995ab8a6360edc545d"/>
    <w:p>
      <w:pPr>
        <w:pStyle w:val="Heading3"/>
      </w:pPr>
      <w:ins w:id="10129" w:author="Z. Zukowski" w:date="2026-05-22T00:00:00Z">
        <w:r>
          <w:t xml:space="preserve">4.5.4 Within-Solana governance concentration heterogeneity</w:t>
        </w:r>
      </w:ins>
    </w:p>
    <w:p>
      <w:pPr>
        <w:pStyle w:val="FirstParagraph"/>
      </w:pPr>
      <w:ins w:id="10130" w:author="Z. Zukowski" w:date="2026-05-22T00:00:00Z">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ins>
      <w:ins w:id="10130" w:author="Z. Zukowski" w:date="2026-05-22T00:00:00Z">
        <w:r>
          <w:t xml:space="preserve"> </w:t>
        </w:r>
      </w:ins>
      <w:ins w:id="10130" w:author="Z. Zukowski" w:date="2026-05-22T00:00:00Z">
        <w:r>
          <w:rPr>
            <w:rStyle w:val="VerbatimChar"/>
          </w:rPr>
          <w:t xml:space="preserve">jupiter_solana.govern_call_setvote</w:t>
        </w:r>
      </w:ins>
      <w:ins w:id="10130" w:author="Z. Zukowski" w:date="2026-05-22T00:00:00Z">
        <w:r>
          <w:t xml:space="preserve"> </w:t>
        </w:r>
      </w:ins>
      <w:ins w:id="10130"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31"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ins>
    </w:p>
    <w:p>
      <w:pPr>
        <w:pStyle w:val="BodyText"/>
      </w:pPr>
      <w:ins w:id="10132" w:author="Z. Zukowski" w:date="2026-05-22T00:00:00Z">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33"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3"/>
    <w:bookmarkStart w:id="74" w:name="X15c4b12eb4e84eab9a54a2155bd3d1d564f6771"/>
    <w:p>
      <w:pPr>
        <w:pStyle w:val="Heading3"/>
      </w:pPr>
      <w:ins w:id="10134" w:author="Z. Zukowski" w:date="2026-05-22T00:00:00Z">
        <w:r>
          <w:t xml:space="preserve">4.5.4.1 Drift Foundation proposal-authorship and vote-weight decoupling</w:t>
        </w:r>
      </w:ins>
    </w:p>
    <w:p>
      <w:pPr>
        <w:pStyle w:val="FirstParagraph"/>
      </w:pPr>
      <w:ins w:id="10135" w:author="Z. Zukowski" w:date="2026-05-22T00:00:00Z">
        <w:r>
          <w:t xml:space="preserve">Drift Protocol exhibits a governance pattern with no close analog in the EVM-protocol cross-section. A single Drift Foundation submitter address (</w:t>
        </w:r>
      </w:ins>
      <w:ins w:id="10135" w:author="Z. Zukowski" w:date="2026-05-22T00:00:00Z">
        <w:r>
          <w:rPr>
            <w:rStyle w:val="VerbatimChar"/>
          </w:rPr>
          <w:t xml:space="preserve">4CL25...wPiiF</w:t>
        </w:r>
      </w:ins>
      <w:ins w:id="10135" w:author="Z. Zukowski" w:date="2026-05-22T00:00:00Z">
        <w:r>
          <w:t xml:space="preserve"> </w:t>
        </w:r>
      </w:ins>
      <w:ins w:id="10135"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voter pool decides, and the two functions are not co-located in the same address.</w:t>
        </w:r>
      </w:ins>
    </w:p>
    <w:p>
      <w:pPr>
        <w:pStyle w:val="BodyText"/>
      </w:pPr>
      <w:ins w:id="10136"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36" w:author="Z. Zukowski" w:date="2026-05-22T00:00:00Z">
        <w:r>
          <w:rPr>
            <w:rStyle w:val="VerbatimChar"/>
          </w:rPr>
          <w:t xml:space="preserve">9Wiiyvy8...</w:t>
        </w:r>
      </w:ins>
      <w:ins w:id="10136"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4"/>
    <w:bookmarkStart w:id="78" w:name="X3e309855b03a6d16c692cf733d7205e5f5ddaa9"/>
    <w:p>
      <w:pPr>
        <w:pStyle w:val="Heading3"/>
      </w:pPr>
      <w:r>
        <w:t xml:space="preserve">4.5.4.2 Multi-year voting-concentration trajectories</w:t>
      </w:r>
    </w:p>
    <w:p>
      <w:pPr>
        <w:pStyle w:val="FirstParagraph"/>
      </w:pPr>
      <w:ins w:id="10137" w:author="Z. Zukowski" w:date="2026-05-22T00:00:00Z">
        <w:r>
          <w:t xml:space="preserve">For the protocols where a true per-period voting series is recoverable, voting concentration is stable across multi-year windows of normal participation (Figure 5), and the only large excursions occur in late, low-turnout periods where a collapsing voter count mechanically inflates per-period HHI. This confirms that the Table 6 figures reflect full-history voting behavior rather than a single-snapshot artifact. The three protocols with a recoverable dated series (Algorand, GEODNET, Helium) are the trajectory sample here; this is a distinct set from the within-Solana cross-section of Section 4.5.4 (Jupiter, Helium, Drift), which compares point-in-time voting HHI across Solana protocols rather than tracking any protocol over time.</w:t>
        </w:r>
      </w:ins>
    </w:p>
    <w:tbl>
      <w:tblPr>
        <w:tblStyle w:val="Table"/>
        <w:tblW w:type="pct" w:w="5000"/>
        <w:tblLayout w:type="fixed"/>
        <w:tblLook w:firstRow="1" w:lastRow="0" w:firstColumn="0" w:lastColumn="0" w:noHBand="0" w:noVBand="0" w:val="0020"/>
      </w:tblPr>
      <w:tblGrid>
        <w:gridCol w:w="1143"/>
        <w:gridCol w:w="979"/>
        <w:gridCol w:w="1061"/>
        <w:gridCol w:w="898"/>
        <w:gridCol w:w="898"/>
        <w:gridCol w:w="898"/>
        <w:gridCol w:w="2041"/>
      </w:tblGrid>
      <w:tr>
        <w:trPr>
          <w:tblHeader w:val="on"/>
        </w:trPr>
        <w:tc>
          <w:tcPr/>
          <w:p>
            <w:pPr>
              <w:pStyle w:val="Compact"/>
            </w:pPr>
            <w:r>
              <w:t xml:space="preserve">Protocol</w:t>
            </w:r>
          </w:p>
        </w:tc>
        <w:tc>
          <w:tcPr/>
          <w:p>
            <w:pPr>
              <w:pStyle w:val="Compact"/>
            </w:pPr>
            <w:r>
              <w:t xml:space="preserve">Series</w:t>
            </w:r>
          </w:p>
        </w:tc>
        <w:tc>
          <w:tcPr/>
          <w:p>
            <w:pPr>
              <w:pStyle w:val="Compact"/>
              <w:jc w:val="right"/>
            </w:pPr>
            <w:r>
              <w:t xml:space="preserve">Periods</w:t>
            </w:r>
          </w:p>
        </w:tc>
        <w:tc>
          <w:tcPr/>
          <w:p>
            <w:pPr>
              <w:pStyle w:val="Compact"/>
              <w:jc w:val="right"/>
            </w:pPr>
            <w:r>
              <w:t xml:space="preserve">HHI min</w:t>
            </w:r>
          </w:p>
        </w:tc>
        <w:tc>
          <w:tcPr/>
          <w:p>
            <w:pPr>
              <w:pStyle w:val="Compact"/>
              <w:jc w:val="right"/>
            </w:pPr>
            <w:r>
              <w:t xml:space="preserve">HHI median</w:t>
            </w:r>
          </w:p>
        </w:tc>
        <w:tc>
          <w:tcPr/>
          <w:p>
            <w:pPr>
              <w:pStyle w:val="Compact"/>
              <w:jc w:val="right"/>
            </w:pPr>
            <w:r>
              <w:t xml:space="preserve">HHI max</w:t>
            </w:r>
          </w:p>
        </w:tc>
        <w:tc>
          <w:tcPr/>
          <w:p>
            <w:pPr>
              <w:pStyle w:val="Compact"/>
            </w:pPr>
            <w:r>
              <w:t xml:space="preserve">Late-period note</w:t>
            </w:r>
          </w:p>
        </w:tc>
      </w:tr>
      <w:tr>
        <w:tc>
          <w:tcPr/>
          <w:p>
            <w:pPr>
              <w:pStyle w:val="Compact"/>
            </w:pPr>
            <w:r>
              <w:t xml:space="preserve">ALGO</w:t>
            </w:r>
          </w:p>
        </w:tc>
        <w:tc>
          <w:tcPr/>
          <w:p>
            <w:pPr>
              <w:pStyle w:val="Compact"/>
            </w:pPr>
            <w:r>
              <w:t xml:space="preserve">GP1 to GP15</w:t>
            </w:r>
          </w:p>
        </w:tc>
        <w:tc>
          <w:tcPr/>
          <w:p>
            <w:pPr>
              <w:pStyle w:val="Compact"/>
              <w:jc w:val="right"/>
            </w:pPr>
            <w:r>
              <w:t xml:space="preserve">15</w:t>
            </w:r>
          </w:p>
        </w:tc>
        <w:tc>
          <w:tcPr/>
          <w:p>
            <w:pPr>
              <w:pStyle w:val="Compact"/>
              <w:jc w:val="right"/>
            </w:pPr>
            <w:r>
              <w:t xml:space="preserve">0.0096</w:t>
            </w:r>
          </w:p>
        </w:tc>
        <w:tc>
          <w:tcPr/>
          <w:p>
            <w:pPr>
              <w:pStyle w:val="Compact"/>
              <w:jc w:val="right"/>
            </w:pPr>
            <w:r>
              <w:t xml:space="preserve">0.0129</w:t>
            </w:r>
          </w:p>
        </w:tc>
        <w:tc>
          <w:tcPr/>
          <w:p>
            <w:pPr>
              <w:pStyle w:val="Compact"/>
              <w:jc w:val="right"/>
            </w:pPr>
            <w:r>
              <w:t xml:space="preserve">0.0357</w:t>
            </w:r>
          </w:p>
        </w:tc>
        <w:tc>
          <w:tcPr/>
          <w:p>
            <w:pPr>
              <w:pStyle w:val="Compact"/>
            </w:pPr>
            <w:ins w:id="10138" w:author="Z. Zukowski" w:date="2026-05-22T00:00:00Z">
              <w:r>
                <w:t xml:space="preserve">GP15 spike is post-rewards regime change</w:t>
              </w:r>
            </w:ins>
          </w:p>
        </w:tc>
      </w:tr>
      <w:tr>
        <w:tc>
          <w:tcPr/>
          <w:p>
            <w:pPr>
              <w:pStyle w:val="Compact"/>
            </w:pPr>
            <w:r>
              <w:t xml:space="preserve">GEOD</w:t>
            </w:r>
          </w:p>
        </w:tc>
        <w:tc>
          <w:tcPr/>
          <w:p>
            <w:pPr>
              <w:pStyle w:val="Compact"/>
            </w:pPr>
            <w:r>
              <w:t xml:space="preserve">GIP series</w:t>
            </w:r>
          </w:p>
        </w:tc>
        <w:tc>
          <w:tcPr/>
          <w:p>
            <w:pPr>
              <w:pStyle w:val="Compact"/>
              <w:jc w:val="right"/>
            </w:pPr>
            <w:r>
              <w:t xml:space="preserve">9</w:t>
            </w:r>
          </w:p>
        </w:tc>
        <w:tc>
          <w:tcPr/>
          <w:p>
            <w:pPr>
              <w:pStyle w:val="Compact"/>
              <w:jc w:val="right"/>
            </w:pPr>
            <w:r>
              <w:t xml:space="preserve">0.0853</w:t>
            </w:r>
          </w:p>
        </w:tc>
        <w:tc>
          <w:tcPr/>
          <w:p>
            <w:pPr>
              <w:pStyle w:val="Compact"/>
              <w:jc w:val="right"/>
            </w:pPr>
            <w:r>
              <w:t xml:space="preserve">0.1708</w:t>
            </w:r>
          </w:p>
        </w:tc>
        <w:tc>
          <w:tcPr/>
          <w:p>
            <w:pPr>
              <w:pStyle w:val="Compact"/>
              <w:jc w:val="right"/>
            </w:pPr>
            <w:r>
              <w:t xml:space="preserve">0.3216</w:t>
            </w:r>
          </w:p>
        </w:tc>
        <w:tc>
          <w:tcPr/>
          <w:p>
            <w:pPr>
              <w:pStyle w:val="Compact"/>
            </w:pPr>
            <w:ins w:id="10139" w:author="Z. Zukowski" w:date="2026-05-22T00:00:00Z">
              <w:r>
                <w:t xml:space="preserve">GIP-1 peak (37 voters); no monotonic trend</w:t>
              </w:r>
            </w:ins>
          </w:p>
        </w:tc>
      </w:tr>
      <w:tr>
        <w:tc>
          <w:tcPr/>
          <w:p>
            <w:pPr>
              <w:pStyle w:val="Compact"/>
            </w:pPr>
            <w:r>
              <w:t xml:space="preserve">HNT</w:t>
            </w:r>
          </w:p>
        </w:tc>
        <w:tc>
          <w:tcPr/>
          <w:p>
            <w:pPr>
              <w:pStyle w:val="Compact"/>
            </w:pPr>
            <w:r>
              <w:t xml:space="preserve">pre-141</w:t>
            </w:r>
          </w:p>
        </w:tc>
        <w:tc>
          <w:tcPr/>
          <w:p>
            <w:pPr>
              <w:pStyle w:val="Compact"/>
              <w:jc w:val="right"/>
            </w:pPr>
            <w:r>
              <w:t xml:space="preserve">38</w:t>
            </w:r>
          </w:p>
        </w:tc>
        <w:tc>
          <w:tcPr/>
          <w:p>
            <w:pPr>
              <w:pStyle w:val="Compact"/>
              <w:jc w:val="right"/>
            </w:pPr>
            <w:r>
              <w:t xml:space="preserve">0.0367</w:t>
            </w:r>
          </w:p>
        </w:tc>
        <w:tc>
          <w:tcPr/>
          <w:p>
            <w:pPr>
              <w:pStyle w:val="Compact"/>
              <w:jc w:val="right"/>
            </w:pPr>
            <w:r>
              <w:t xml:space="preserve">0.0877</w:t>
            </w:r>
          </w:p>
        </w:tc>
        <w:tc>
          <w:tcPr/>
          <w:p>
            <w:pPr>
              <w:pStyle w:val="Compact"/>
              <w:jc w:val="right"/>
            </w:pPr>
            <w:r>
              <w:t xml:space="preserve">0.3332</w:t>
            </w:r>
          </w:p>
        </w:tc>
        <w:tc>
          <w:tcPr/>
          <w:p>
            <w:pPr>
              <w:pStyle w:val="Compact"/>
            </w:pPr>
            <w:ins w:id="10140" w:author="Z. Zukowski" w:date="2026-05-22T00:00:00Z">
              <w:r>
                <w:t xml:space="preserve">per-proposal; stable across pre-141 window</w:t>
              </w:r>
            </w:ins>
          </w:p>
        </w:tc>
      </w:tr>
      <w:tr>
        <w:tc>
          <w:tcPr/>
          <w:p>
            <w:pPr>
              <w:pStyle w:val="Compact"/>
            </w:pPr>
            <w:r>
              <w:t xml:space="preserve">HNT</w:t>
            </w:r>
          </w:p>
        </w:tc>
        <w:tc>
          <w:tcPr/>
          <w:p>
            <w:pPr>
              <w:pStyle w:val="Compact"/>
            </w:pPr>
            <w:r>
              <w:t xml:space="preserve">post-141</w:t>
            </w:r>
          </w:p>
        </w:tc>
        <w:tc>
          <w:tcPr/>
          <w:p>
            <w:pPr>
              <w:pStyle w:val="Compact"/>
              <w:jc w:val="right"/>
            </w:pPr>
            <w:r>
              <w:t xml:space="preserve">8</w:t>
            </w:r>
          </w:p>
        </w:tc>
        <w:tc>
          <w:tcPr/>
          <w:p>
            <w:pPr>
              <w:pStyle w:val="Compact"/>
              <w:jc w:val="right"/>
            </w:pPr>
            <w:r>
              <w:t xml:space="preserve">0.4329</w:t>
            </w:r>
          </w:p>
        </w:tc>
        <w:tc>
          <w:tcPr/>
          <w:p>
            <w:pPr>
              <w:pStyle w:val="Compact"/>
              <w:jc w:val="right"/>
            </w:pPr>
            <w:r>
              <w:t xml:space="preserve">0.6997</w:t>
            </w:r>
          </w:p>
        </w:tc>
        <w:tc>
          <w:tcPr/>
          <w:p>
            <w:pPr>
              <w:pStyle w:val="Compact"/>
              <w:jc w:val="right"/>
            </w:pPr>
            <w:r>
              <w:t xml:space="preserve">0.8655</w:t>
            </w:r>
          </w:p>
        </w:tc>
        <w:tc>
          <w:tcPr/>
          <w:p>
            <w:pPr>
              <w:pStyle w:val="Compact"/>
            </w:pPr>
            <w:r>
              <w:t xml:space="preserve">per-proposal; post-HIP-141 turnout collapse</w:t>
            </w:r>
          </w:p>
        </w:tc>
      </w:tr>
    </w:tbl>
    <w:p>
      <w:pPr>
        <w:pStyle w:val="BodyText"/>
      </w:pPr>
      <w:ins w:id="10141" w:author="Z. Zukowski" w:date="2026-05-22T00:00:00Z">
        <w:r>
          <w:rPr>
            <w:b/>
            <w:bCs/>
            <w:i/>
            <w:iCs/>
          </w:rPr>
          <w:t xml:space="preserve">Table 7.</w:t>
        </w:r>
      </w:ins>
      <w:ins w:id="10141" w:author="Z. Zukowski" w:date="2026-05-22T00:00:00Z">
        <w:r>
          <w:rPr>
            <w:i/>
            <w:iCs/>
          </w:rPr>
          <w:t xml:space="preserve"> </w:t>
        </w:r>
      </w:ins>
      <w:ins w:id="10141" w:author="Z. Zukowski" w:date="2026-05-22T00:00:00Z">
        <w:r>
          <w:rPr>
            <w:i/>
            <w:iCs/>
          </w:rPr>
          <w:t xml:space="preserve">Per-period voting-HHI summary statistics for the three protocols with a recoverable dated per-period governance series (Algorand, GEODNET, Helium). Columns report the period count and the per-protocol HHI minimum, median, and maximum, with a late-period note. Helium is split at the HIP-141 governance redesign: a pre-141 normal-participation window (38 proposals) and a post-141 turnout-collapse regime (8 proposals, 5 to 10 voters). Drift is omitted (no dated series; cross-sectional median 0.266, Section 4.5.4.2). The per-period trajectories are plotted in Figure 5.</w:t>
        </w:r>
      </w:ins>
    </w:p>
    <w:p>
      <w:pPr>
        <w:pStyle w:val="BodyText"/>
      </w:pPr>
      <w:ins w:id="10142" w:author="Z. Zukowski" w:date="2026-05-22T00:00:00Z">
        <w:r>
          <w:t xml:space="preserve">ALGO commitment-weight HHI holds inside a 0.0096 to 0.0190 band across fourteen of fifteen governance periods spanning 2021 to 2024; the GP15 value (0.0357) follows the post-GP14 end of rewards-eligible commitment (a 92.7 percent commitment-volume drop, governors falling from 14,687 to 1,394) and is a regime artifact, not concentration drift. GEOD veNFT vote-weight HHI holds a 0.0853 to 0.3216 range with no monotonic trend across nine governance proposals from 2024 to 2026. Helium per-proposal HHI is stable and low across the full pre-HIP-141 window (38 substantive proposals from 2023-10 to 2024-08, median 0.0877, band 0.0367 to 0.3332); the post-HIP-141 median of 0.6997 is a turnout-collapse artifact rather than concentration drift, as participation fell from the 200-to-1,024-voter pre-141 range to 5-to-10 voters post-141. Drift carries no per-period series (its on-chain corpus is keyed by proposal address without timestamps and is ordered by voter count); its ten substantive proposals show a per-proposal HHI median of 0.266 (range 0.089 to 0.522), cohort-consistent with the other Solana protocols and reported here cross-sectionally rather than as a trajectory.</w:t>
        </w:r>
      </w:ins>
    </w:p>
    <w:p>
      <w:pPr>
        <w:pStyle w:val="BodyText"/>
      </w:pPr>
      <w:r>
        <w:drawing>
          <wp:inline>
            <wp:extent cx="5334000" cy="2916557"/>
            <wp:effectExtent b="0" l="0" r="0" t="0"/>
            <wp:docPr descr="" title="" id="76" name="Picture"/>
            <a:graphic>
              <a:graphicData uri="http://schemas.openxmlformats.org/drawingml/2006/picture">
                <pic:pic>
                  <pic:nvPicPr>
                    <pic:cNvPr descr="media/fig_voting_trajectory.png" id="77" name="Picture"/>
                    <pic:cNvPicPr>
                      <a:picLocks noChangeArrowheads="1" noChangeAspect="1"/>
                    </pic:cNvPicPr>
                  </pic:nvPicPr>
                  <pic:blipFill>
                    <a:blip r:embed="rId75"/>
                    <a:stretch>
                      <a:fillRect/>
                    </a:stretch>
                  </pic:blipFill>
                  <pic:spPr bwMode="auto">
                    <a:xfrm>
                      <a:off x="0" y="0"/>
                      <a:ext cx="5334000" cy="2916557"/>
                    </a:xfrm>
                    <a:prstGeom prst="rect">
                      <a:avLst/>
                    </a:prstGeom>
                    <a:noFill/>
                    <a:ln w="9525">
                      <a:noFill/>
                      <a:headEnd/>
                      <a:tailEnd/>
                    </a:ln>
                  </pic:spPr>
                </pic:pic>
              </a:graphicData>
            </a:graphic>
          </wp:inline>
        </w:drawing>
      </w:r>
    </w:p>
    <w:p>
      <w:pPr>
        <w:pStyle w:val="BodyText"/>
      </w:pPr>
      <w:ins w:id="10143" w:author="Z. Zukowski" w:date="2026-05-22T00:00:00Z">
        <w:r>
          <w:rPr>
            <w:b/>
            <w:bCs/>
            <w:i/>
            <w:iCs/>
          </w:rPr>
          <w:t xml:space="preserve">Figure 5.</w:t>
        </w:r>
      </w:ins>
      <w:ins w:id="10143" w:author="Z. Zukowski" w:date="2026-05-22T00:00:00Z">
        <w:r>
          <w:rPr>
            <w:i/>
            <w:iCs/>
          </w:rPr>
          <w:t xml:space="preserve"> </w:t>
        </w:r>
      </w:ins>
      <w:ins w:id="10143" w:author="Z. Zukowski" w:date="2026-05-22T00:00:00Z">
        <w:r>
          <w:rPr>
            <w:i/>
            <w:iCs/>
          </w:rPr>
          <w:t xml:space="preserve">Per-period voting-HHI trajectories (log scale, by period index) for the three protocols with a true per-period governance series (Algorand, GEODNET, Helium; per-period values in Table 7). Voting concentration is stable across multi-year windows of normal participation. The two annotated late-period excursions are artifacts rather than concentration drift: the Algorand GP15 uptick follows the post-GP14 end of rewards-eligible commitment (a 92.7 percent commitment-volume drop), and the shaded Helium post-HIP-141 region reflects a turnout collapse from the 200-to-1,024-voter range to 5-to-10 voters. Drift Protocol carries no dated series (its on-chain corpus is keyed by proposal address without timestamps) and is omitted here; its ten substantive proposals show a cross-sectional per-proposal HHI median of 0.266. Reproducible one-command from the committed series files via</w:t>
        </w:r>
      </w:ins>
      <w:ins w:id="10143" w:author="Z. Zukowski" w:date="2026-05-22T00:00:00Z">
        <w:r>
          <w:rPr>
            <w:i/>
            <w:iCs/>
          </w:rPr>
          <w:t xml:space="preserve"> </w:t>
        </w:r>
      </w:ins>
      <w:ins w:id="10143" w:author="Z. Zukowski" w:date="2026-05-22T00:00:00Z">
        <w:r>
          <w:rPr>
            <w:rStyle w:val="VerbatimChar"/>
            <w:i/>
            <w:iCs/>
          </w:rPr>
          <w:t xml:space="preserve">exhibits/figures/fig_voting_trajectory.py</w:t>
        </w:r>
      </w:ins>
      <w:ins w:id="10143" w:author="Z. Zukowski" w:date="2026-05-22T00:00:00Z">
        <w:r>
          <w:rPr>
            <w:i/>
            <w:iCs/>
          </w:rPr>
          <w:t xml:space="preserve">.</w:t>
        </w:r>
      </w:ins>
    </w:p>
    <w:bookmarkEnd w:id="78"/>
    <w:bookmarkStart w:id="80" w:name="X62e7451cb2988f0fd7b0fa0d85568417c3cfa57"/>
    <w:p>
      <w:pPr>
        <w:pStyle w:val="Heading3"/>
      </w:pPr>
      <w:ins w:id="10144" w:author="Z. Zukowski" w:date="2026-05-22T00:00:00Z">
        <w:r>
          <w:t xml:space="preserve">4.5.5 Secondary extension: cross-protocol institutional concentration (fifth axis; future work)</w:t>
        </w:r>
      </w:ins>
    </w:p>
    <w:p>
      <w:pPr>
        <w:pStyle w:val="FirstParagraph"/>
      </w:pPr>
      <w:ins w:id="10145"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45" w:author="Z. Zukowski" w:date="2026-05-22T00:00:00Z">
        <w:r>
          <w:t xml:space="preserve"> </w:t>
        </w:r>
      </w:ins>
      <w:hyperlink r:id="rId79">
        <w:ins w:id="10145" w:author="Z. Zukowski" w:date="2026-05-22T00:00:00Z">
          <w:r>
            <w:rPr>
              <w:rStyle w:val="Hyperlink"/>
            </w:rPr>
            <w:t xml:space="preserve">Supplementary File S25</w:t>
          </w:r>
        </w:ins>
      </w:hyperlink>
      <w:ins w:id="10145" w:author="Z. Zukowski" w:date="2026-05-22T00:00:00Z">
        <w:r>
          <w:t xml:space="preserve">.</w:t>
        </w:r>
      </w:ins>
    </w:p>
    <w:bookmarkEnd w:id="80"/>
    <w:bookmarkEnd w:id="81"/>
    <w:bookmarkStart w:id="96" w:name="Xc10448b48f3bc18e70a56f1ee20940fec9f4b9b"/>
    <w:p>
      <w:pPr>
        <w:pStyle w:val="Heading2"/>
      </w:pPr>
      <w:ins w:id="10146" w:author="Z. Zukowski" w:date="2026-05-22T00:00:00Z">
        <w:r>
          <w:t xml:space="preserve">4.6 Robustness: Leave-One-Out, Resampling, and Specification Sensitivity</w:t>
        </w:r>
      </w:ins>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protocols with no insider top-holders</w:t>
      </w:r>
      <w:r>
        <w:t xml:space="preserve"> </w:t>
      </w:r>
      <w:r>
        <w:t xml:space="preserve">(Hyperliquid, Optimism, Arbitrum) individually drive the result.</w:t>
      </w:r>
    </w:p>
    <w:p>
      <w:pPr>
        <w:pStyle w:val="BodyText"/>
      </w:pPr>
      <w:ins w:id="10147" w:author="Z. Zukowski" w:date="2026-05-22T00:00:00Z">
        <w:r>
          <w:t xml:space="preserve">Secondary size and retention checks sharpen the interpretation. Larger</w:t>
        </w:r>
      </w:ins>
      <w:ins w:id="10147" w:author="Z. Zukowski" w:date="2026-05-22T00:00:00Z">
        <w:r>
          <w:t xml:space="preserve"> </w:t>
        </w:r>
      </w:ins>
      <w:ins w:id="10147" w:author="Z. Zukowski" w:date="2026-05-22T00:00:00Z">
        <w:r>
          <w:t xml:space="preserve">protocols by fully diluted valuation have fewer insider wallets in their</w:t>
        </w:r>
      </w:ins>
      <w:ins w:id="10147" w:author="Z. Zukowski" w:date="2026-05-22T00:00:00Z">
        <w:r>
          <w:t xml:space="preserve"> </w:t>
        </w:r>
      </w:ins>
      <w:ins w:id="10147" w:author="Z. Zukowski" w:date="2026-05-22T00:00:00Z">
        <w:r>
          <w:t xml:space="preserve">current top-10 holder set (Pearson r = -0.36, p = 0.032, N = 36;</w:t>
        </w:r>
      </w:ins>
      <w:ins w:id="10147" w:author="Z. Zukowski" w:date="2026-05-22T00:00:00Z">
        <w:r>
          <w:t xml:space="preserve"> </w:t>
        </w:r>
      </w:ins>
      <w:ins w:id="10147" w:author="Z. Zukowski" w:date="2026-05-22T00:00:00Z">
        <w:r>
          <w:t xml:space="preserve">Spearman rho = -0.31, p = 0.063), and the market-capitalization</w:t>
        </w:r>
      </w:ins>
      <w:ins w:id="10147" w:author="Z. Zukowski" w:date="2026-05-22T00:00:00Z">
        <w:r>
          <w:t xml:space="preserve"> </w:t>
        </w:r>
      </w:ins>
      <w:ins w:id="10147" w:author="Z. Zukowski" w:date="2026-05-22T00:00:00Z">
        <w:r>
          <w:t xml:space="preserve">specification has the same direction at borderline significance</w:t>
        </w:r>
      </w:ins>
      <w:ins w:id="10147" w:author="Z. Zukowski" w:date="2026-05-22T00:00:00Z">
        <w:r>
          <w:t xml:space="preserve"> </w:t>
        </w:r>
      </w:ins>
      <w:ins w:id="10147" w:author="Z. Zukowski" w:date="2026-05-22T00:00:00Z">
        <w:r>
          <w:t xml:space="preserve">(Pearson r = -0.34, p = 0.050, N = 33). Balance-retention</w:t>
        </w:r>
      </w:ins>
      <w:ins w:id="10147" w:author="Z. Zukowski" w:date="2026-05-22T00:00:00Z">
        <w:r>
          <w:t xml:space="preserve"> </w:t>
        </w:r>
      </w:ins>
      <w:ins w:id="10147" w:author="Z. Zukowski" w:date="2026-05-22T00:00:00Z">
        <w:r>
          <w:t xml:space="preserve">specifications are not significant, indicating a composition-shift</w:t>
        </w:r>
      </w:ins>
      <w:ins w:id="10147" w:author="Z. Zukowski" w:date="2026-05-22T00:00:00Z">
        <w:r>
          <w:t xml:space="preserve"> </w:t>
        </w:r>
      </w:ins>
      <w:ins w:id="10147" w:author="Z. Zukowski" w:date="2026-05-22T00:00:00Z">
        <w:r>
          <w:t xml:space="preserve">interpretation rather than a retained-balance result. Net-deflationary</w:t>
        </w:r>
      </w:ins>
      <w:ins w:id="10147" w:author="Z. Zukowski" w:date="2026-05-22T00:00:00Z">
        <w:r>
          <w:t xml:space="preserve"> </w:t>
        </w:r>
      </w:ins>
      <w:ins w:id="10147" w:author="Z. Zukowski" w:date="2026-05-22T00:00:00Z">
        <w:r>
          <w:t xml:space="preserve">protocols also show no statistically significant difference in insider</w:t>
        </w:r>
      </w:ins>
      <w:ins w:id="10147" w:author="Z. Zukowski" w:date="2026-05-22T00:00:00Z">
        <w:r>
          <w:t xml:space="preserve"> </w:t>
        </w:r>
      </w:ins>
      <w:ins w:id="10147" w:author="Z. Zukowski" w:date="2026-05-22T00:00:00Z">
        <w:r>
          <w:t xml:space="preserve">retention by count or balance (Mann-Whitney p = 0.57 and p = 0.78,</w:t>
        </w:r>
      </w:ins>
      <w:ins w:id="10147" w:author="Z. Zukowski" w:date="2026-05-22T00:00:00Z">
        <w:r>
          <w:t xml:space="preserve"> </w:t>
        </w:r>
      </w:ins>
      <w:ins w:id="10147" w:author="Z. Zukowski" w:date="2026-05-22T00:00:00Z">
        <w:r>
          <w:t xml:space="preserve">respectively). These checks are secondary, but they support the paper’s</w:t>
        </w:r>
      </w:ins>
      <w:ins w:id="10147" w:author="Z. Zukowski" w:date="2026-05-22T00:00:00Z">
        <w:r>
          <w:t xml:space="preserve"> </w:t>
        </w:r>
      </w:ins>
      <w:ins w:id="10147" w:author="Z. Zukowski" w:date="2026-05-22T00:00:00Z">
        <w:r>
          <w:t xml:space="preserve">main distinction between launch allocation and current holder</w:t>
        </w:r>
      </w:ins>
      <w:ins w:id="10147" w:author="Z. Zukowski" w:date="2026-05-22T00:00:00Z">
        <w:r>
          <w:t xml:space="preserve"> </w:t>
        </w:r>
      </w:ins>
      <w:ins w:id="10147" w:author="Z. Zukowski" w:date="2026-05-22T00:00:00Z">
        <w:r>
          <w:t xml:space="preserve">composition.</w:t>
        </w:r>
      </w:ins>
    </w:p>
    <w:p>
      <w:pPr>
        <w:pStyle w:val="BodyText"/>
      </w:pPr>
      <w:ins w:id="10148" w:author="Z. Zukowski" w:date="2026-05-22T00:00:00Z">
        <w:r>
          <w:t xml:space="preserve">The DePIN-versus-DeFi sector difference is robust in direction and medium in magnitude under a consistent staking-aggregation exclusion (Mann-Whitney p = 0.018, Cohen’s d = 0.75). The test remains significant</w:t>
        </w:r>
      </w:ins>
      <w:ins w:id="10148" w:author="Z. Zukowski" w:date="2026-05-22T00:00:00Z">
        <w:r>
          <w:t xml:space="preserve"> </w:t>
        </w:r>
      </w:ins>
      <w:ins w:id="10148" w:author="Z. Zukowski" w:date="2026-05-22T00:00:00Z">
        <w:r>
          <w:t xml:space="preserve">in all 30 of 30 leave-one-out iterations (per-iteration p range: 0.006</w:t>
        </w:r>
      </w:ins>
      <w:ins w:id="10148" w:author="Z. Zukowski" w:date="2026-05-22T00:00:00Z">
        <w:r>
          <w:t xml:space="preserve"> </w:t>
        </w:r>
      </w:ins>
      <w:ins w:id="10148" w:author="Z. Zukowski" w:date="2026-05-22T00:00:00Z">
        <w:r>
          <w:t xml:space="preserve">to 0.031; Cohen’s d range: 0.68 to 0.92; the per-iteration forest plot with bootstrap 95 percent CI on the</w:t>
        </w:r>
      </w:ins>
      <w:ins w:id="10148" w:author="Z. Zukowski" w:date="2026-05-22T00:00:00Z">
        <w:r>
          <w:t xml:space="preserve"> </w:t>
        </w:r>
      </w:ins>
      <w:ins w:id="10148" w:author="Z. Zukowski" w:date="2026-05-22T00:00:00Z">
        <w:r>
          <w:t xml:space="preserve">robustness-treatment d is in Supplementary Figure S5b in Supplementary File S5). No single dropped</w:t>
        </w:r>
      </w:ins>
      <w:ins w:id="10148" w:author="Z. Zukowski" w:date="2026-05-22T00:00:00Z">
        <w:r>
          <w:t xml:space="preserve"> </w:t>
        </w:r>
      </w:ins>
      <w:ins w:id="10148" w:author="Z. Zukowski" w:date="2026-05-22T00:00:00Z">
        <w:r>
          <w:t xml:space="preserve">protocol pushes the per-iteration p-value above 0.031, and no single</w:t>
        </w:r>
      </w:ins>
      <w:ins w:id="10148" w:author="Z. Zukowski" w:date="2026-05-22T00:00:00Z">
        <w:r>
          <w:t xml:space="preserve"> </w:t>
        </w:r>
      </w:ins>
      <w:ins w:id="10148" w:author="Z. Zukowski" w:date="2026-05-22T00:00:00Z">
        <w:r>
          <w:t xml:space="preserve">protocol uniquely drives the result. A two-sided permutation</w:t>
        </w:r>
      </w:ins>
      <w:ins w:id="10148" w:author="Z. Zukowski" w:date="2026-05-22T00:00:00Z">
        <w:r>
          <w:t xml:space="preserve"> </w:t>
        </w:r>
      </w:ins>
      <w:ins w:id="10148" w:author="Z. Zukowski" w:date="2026-05-22T00:00:00Z">
        <w:r>
          <w:t xml:space="preserve">test (100,000 random reassignments of sector labels) yields p = 0.009,</w:t>
        </w:r>
      </w:ins>
      <w:ins w:id="10148" w:author="Z. Zukowski" w:date="2026-05-22T00:00:00Z">
        <w:r>
          <w:t xml:space="preserve"> </w:t>
        </w:r>
      </w:ins>
      <w:ins w:id="10148" w:author="Z. Zukowski" w:date="2026-05-22T00:00:00Z">
        <w:r>
          <w:t xml:space="preserve">confirming that the direction is not an artifact of the asymptotic</w:t>
        </w:r>
      </w:ins>
      <w:ins w:id="10148" w:author="Z. Zukowski" w:date="2026-05-22T00:00:00Z">
        <w:r>
          <w:t xml:space="preserve"> </w:t>
        </w:r>
      </w:ins>
      <w:ins w:id="10148" w:author="Z. Zukowski" w:date="2026-05-22T00:00:00Z">
        <w:r>
          <w:t xml:space="preserve">approximation. A non-parametric bootstrap on the sector mean difference</w:t>
        </w:r>
      </w:ins>
      <w:ins w:id="10148" w:author="Z. Zukowski" w:date="2026-05-22T00:00:00Z">
        <w:r>
          <w:t xml:space="preserve"> </w:t>
        </w:r>
      </w:ins>
      <w:ins w:id="10148" w:author="Z. Zukowski" w:date="2026-05-22T00:00:00Z">
        <w:r>
          <w:t xml:space="preserve">(10,000 resamples) yields a 95 percent percentile interval of [+0.010,</w:t>
        </w:r>
      </w:ins>
      <w:ins w:id="10148" w:author="Z. Zukowski" w:date="2026-05-22T00:00:00Z">
        <w:r>
          <w:t xml:space="preserve"> </w:t>
        </w:r>
      </w:ins>
      <w:ins w:id="10148" w:author="Z. Zukowski" w:date="2026-05-22T00:00:00Z">
        <w:r>
          <w:t xml:space="preserve">+0.081] HHI points, strictly excluding zero; the Cohen’s d 95 percent</w:t>
        </w:r>
      </w:ins>
      <w:ins w:id="10148" w:author="Z. Zukowski" w:date="2026-05-22T00:00:00Z">
        <w:r>
          <w:t xml:space="preserve"> </w:t>
        </w:r>
      </w:ins>
      <w:ins w:id="10148" w:author="Z. Zukowski" w:date="2026-05-22T00:00:00Z">
        <w:r>
          <w:t xml:space="preserve">percentile interval is [0.40, 1.52], spanning the small-to-large range with the point estimate at the medium level, so it remains above the small-effect</w:t>
        </w:r>
      </w:ins>
      <w:ins w:id="10148" w:author="Z. Zukowski" w:date="2026-05-22T00:00:00Z">
        <w:r>
          <w:t xml:space="preserve"> </w:t>
        </w:r>
      </w:ins>
      <w:ins w:id="10148" w:author="Z. Zukowski" w:date="2026-05-22T00:00:00Z">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ins>
      <w:ins w:id="10148" w:author="Z. Zukowski" w:date="2026-05-22T00:00:00Z">
        <w:r>
          <w:t xml:space="preserve"> </w:t>
        </w:r>
      </w:ins>
      <w:ins w:id="10148" w:author="Z. Zukowski" w:date="2026-05-22T00:00:00Z">
        <w:r>
          <w:t xml:space="preserve">sample composition, resampling, and rank-based and parametric tests.</w:t>
        </w:r>
      </w:ins>
    </w:p>
    <w:p>
      <w:pPr>
        <w:pStyle w:val="BodyText"/>
      </w:pPr>
      <w:r>
        <w:drawing>
          <wp:inline>
            <wp:extent cx="5334000" cy="2927348"/>
            <wp:effectExtent b="0" l="0" r="0" t="0"/>
            <wp:docPr descr="" title="" id="83" name="Picture"/>
            <a:graphic>
              <a:graphicData uri="http://schemas.openxmlformats.org/drawingml/2006/picture">
                <pic:pic>
                  <pic:nvPicPr>
                    <pic:cNvPr descr="media/fig9_loo_forest.png" id="84" name="Picture"/>
                    <pic:cNvPicPr>
                      <a:picLocks noChangeArrowheads="1" noChangeAspect="1"/>
                    </pic:cNvPicPr>
                  </pic:nvPicPr>
                  <pic:blipFill>
                    <a:blip r:embed="rId82"/>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49" w:author="Z. Zukowski" w:date="2026-05-22T00:00:00Z">
        <w:r>
          <w:rPr>
            <w:b/>
            <w:bCs/>
            <w:i/>
            <w:iCs/>
          </w:rPr>
          <w:t xml:space="preserve">Figure 6.</w:t>
        </w:r>
      </w:ins>
      <w:ins w:id="10149" w:author="Z. Zukowski" w:date="2026-05-22T00:00:00Z">
        <w:r>
          <w:rPr>
            <w:i/>
            <w:iCs/>
          </w:rPr>
          <w:t xml:space="preserve"> </w:t>
        </w:r>
      </w:ins>
      <w:ins w:id="10149" w:author="Z. Zukowski" w:date="2026-05-22T00:00:00Z">
        <w:r>
          <w:rPr>
            <w:i/>
            <w:iCs/>
          </w:rPr>
          <w:t xml:space="preserve">Leave-one-out forest plot for the DePIN-versus-DeFi sector contrast, computed under the uniform staking-aggregation exclusion of Section 4.6.2 (the robustness-check treatment, Cohen’s d = 0.75; the headline voter-inclusive pass-through treatment is reported in Section 4.6.2 and the abstract).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d under this exclusion (10,000 resamples; full-sample estimate) is [0.40, 1.52], spanning the small-to-large range with the point estimate at the medium level (d = 0.8 sits in the upper portion of the interval).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50" w:author="Z. Zukowski" w:date="2026-05-22T00:00:00Z">
        <w:r>
          <w:t xml:space="preserve">The fragility is robust to sample size and is not an artifact of the N = 23 subsidy subsample. Relaxing the non-zero-subsidy filter to include the twelve protocols with a genuine measured zero subsidy (revenue present, token incentives equal to zero: mature, buyback-only, or no-fee-accrual tokens, for which a zero is a substantive economic observation rather than a missing value) yields N = 35. The Livepeer-inclusive Pearson correlation is essentially unchanged at r = 0.61 (p = 0.0001), and excluding Livepeer it again collapses to a clean null at r = 0.09 (p = 0.61, N = 34); the outlier-robust Spearman correlation is non-significant at both sample sizes even with Livepeer retained (rho = 0.26 at N = 23, rho = 0.09 at N = 35). Adding twelve protocols, a 52 percent increase in the sample, moves the Livepeer-inclusive coefficient by only 0.01 and leaves the Livepeer-excluded association null. The subsidy-to-concentration result is therefore a demonstrated-fragile one whose apparent significance is carried entirely by a single high-leverage DePIN observation, not a small-sample limitation that a larger cross-section would resolve.</w:t>
        </w:r>
      </w:ins>
    </w:p>
    <w:p>
      <w:pPr>
        <w:pStyle w:val="BodyText"/>
      </w:pPr>
      <w:ins w:id="10151" w:author="Z. Zukowski" w:date="2026-05-22T00:00:00Z">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51" w:author="Z. Zukowski" w:date="2026-05-22T00:00:00Z">
        <w:r>
          <w:t xml:space="preserve"> </w:t>
        </w:r>
      </w:ins>
      <w:ins w:id="10151" w:author="Z. Zukowski" w:date="2026-05-22T00:00:00Z">
        <w:r>
          <w:t xml:space="preserve">“driven by Livepeer”</w:t>
        </w:r>
      </w:ins>
      <w:ins w:id="10151" w:author="Z. Zukowski" w:date="2026-05-22T00:00:00Z">
        <w:r>
          <w:t xml:space="preserve"> </w:t>
        </w:r>
      </w:ins>
      <w:ins w:id="10151" w:author="Z. Zukowski" w:date="2026-05-22T00:00:00Z">
        <w:r>
          <w:t xml:space="preserve">framing, is robust to alternative non-native fee specification.</w:t>
        </w:r>
      </w:ins>
    </w:p>
    <w:p>
      <w:pPr>
        <w:pStyle w:val="BodyText"/>
      </w:pPr>
      <w:ins w:id="10152" w:author="Z. Zukowski" w:date="2026-05-22T00:00:00Z">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53" w:author="Z. Zukowski" w:date="2026-05-22T00:00:00Z">
        <w:r>
          <w:t xml:space="preserve">A robustness check using the Token Terminal subsidy_ratio (N = 20 protocols with non-null Token Terminal</w:t>
        </w:r>
      </w:ins>
      <w:ins w:id="10153" w:author="Z. Zukowski" w:date="2026-05-22T00:00:00Z">
        <w:r>
          <w:t xml:space="preserve"> </w:t>
        </w:r>
      </w:ins>
      <w:ins w:id="10153" w:author="Z. Zukowski" w:date="2026-05-22T00:00:00Z">
        <w:r>
          <w:t xml:space="preserve">revenue and incentives data) is consistent with the null at cross-sector</w:t>
        </w:r>
      </w:ins>
      <w:ins w:id="10153" w:author="Z. Zukowski" w:date="2026-05-22T00:00:00Z">
        <w:r>
          <w:t xml:space="preserve"> </w:t>
        </w:r>
      </w:ins>
      <w:ins w:id="10153" w:author="Z. Zukowski" w:date="2026-05-22T00:00:00Z">
        <w:r>
          <w:t xml:space="preserve">Pearson r = 0.12 (p ≈ 0.61); a broader merged sample combining Token</w:t>
        </w:r>
      </w:ins>
      <w:ins w:id="10153" w:author="Z. Zukowski" w:date="2026-05-22T00:00:00Z">
        <w:r>
          <w:t xml:space="preserve"> </w:t>
        </w:r>
      </w:ins>
      <w:ins w:id="10153" w:author="Z. Zukowski" w:date="2026-05-22T00:00:00Z">
        <w:r>
          <w:t xml:space="preserve">Terminal data with on-chain emission/fee ratios (N = 26 across both</w:t>
        </w:r>
      </w:ins>
      <w:ins w:id="10153" w:author="Z. Zukowski" w:date="2026-05-22T00:00:00Z">
        <w:r>
          <w:t xml:space="preserve"> </w:t>
        </w:r>
      </w:ins>
      <w:ins w:id="10153" w:author="Z. Zukowski" w:date="2026-05-22T00:00:00Z">
        <w:r>
          <w:t xml:space="preserve">methodologies; N = 23 protocols with non-zero subsidy under either</w:t>
        </w:r>
      </w:ins>
      <w:ins w:id="10153" w:author="Z. Zukowski" w:date="2026-05-22T00:00:00Z">
        <w:r>
          <w:t xml:space="preserve"> </w:t>
        </w:r>
      </w:ins>
      <w:ins w:id="10153" w:author="Z. Zukowski" w:date="2026-05-22T00:00:00Z">
        <w:r>
          <w:t xml:space="preserve">metric) yields r = 0.62 inclusive of Livepeer and r = 0.07 excluding</w:t>
        </w:r>
      </w:ins>
      <w:ins w:id="10153" w:author="Z. Zukowski" w:date="2026-05-22T00:00:00Z">
        <w:r>
          <w:t xml:space="preserve"> </w:t>
        </w:r>
      </w:ins>
      <w:ins w:id="10153" w:author="Z. Zukowski" w:date="2026-05-22T00:00:00Z">
        <w:r>
          <w:t xml:space="preserve">Livepeer. The cross-sector methodology aggregates by preference: Token</w:t>
        </w:r>
      </w:ins>
      <w:ins w:id="10153" w:author="Z. Zukowski" w:date="2026-05-22T00:00:00Z">
        <w:r>
          <w:t xml:space="preserve"> </w:t>
        </w:r>
      </w:ins>
      <w:ins w:id="10153" w:author="Z. Zukowski" w:date="2026-05-22T00:00:00Z">
        <w:r>
          <w:t xml:space="preserve">Terminal subsidy_ratio is used where available (N = 20 protocols with non-empty</w:t>
        </w:r>
      </w:ins>
      <w:ins w:id="10153" w:author="Z. Zukowski" w:date="2026-05-22T00:00:00Z">
        <w:r>
          <w:t xml:space="preserve"> </w:t>
        </w:r>
      </w:ins>
      <w:ins w:id="10153" w:author="Z. Zukowski" w:date="2026-05-22T00:00:00Z">
        <w:r>
          <w:t xml:space="preserve">TT data); on-chain emission/fee subsidy_ratio_onchain is used as fallback</w:t>
        </w:r>
      </w:ins>
      <w:ins w:id="10153" w:author="Z. Zukowski" w:date="2026-05-22T00:00:00Z">
        <w:r>
          <w:t xml:space="preserve"> </w:t>
        </w:r>
      </w:ins>
      <w:ins w:id="10153" w:author="Z. Zukowski" w:date="2026-05-22T00:00:00Z">
        <w:r>
          <w:t xml:space="preserve">where TT data is unavailable but on-chain data is present (additional N = 6</w:t>
        </w:r>
      </w:ins>
      <w:ins w:id="10153" w:author="Z. Zukowski" w:date="2026-05-22T00:00:00Z">
        <w:r>
          <w:t xml:space="preserve"> </w:t>
        </w:r>
      </w:ins>
      <w:ins w:id="10153" w:author="Z. Zukowski" w:date="2026-05-22T00:00:00Z">
        <w:r>
          <w:t xml:space="preserve">protocols); the union yields the merged N = 26 sample. The</w:t>
        </w:r>
      </w:ins>
      <w:ins w:id="10153" w:author="Z. Zukowski" w:date="2026-05-22T00:00:00Z">
        <w:r>
          <w:t xml:space="preserve"> </w:t>
        </w:r>
      </w:ins>
      <w:ins w:id="10153" w:author="Z. Zukowski" w:date="2026-05-22T00:00:00Z">
        <w:r>
          <w:t xml:space="preserve">“non-zero either</w:t>
        </w:r>
      </w:ins>
      <w:ins w:id="10153" w:author="Z. Zukowski" w:date="2026-05-22T00:00:00Z">
        <w:r>
          <w:t xml:space="preserve"> </w:t>
        </w:r>
      </w:ins>
      <w:ins w:id="10153" w:author="Z. Zukowski" w:date="2026-05-22T00:00:00Z">
        <w:r>
          <w:t xml:space="preserve">metric”</w:t>
        </w:r>
      </w:ins>
      <w:ins w:id="10153" w:author="Z. Zukowski" w:date="2026-05-22T00:00:00Z">
        <w:r>
          <w:t xml:space="preserve"> </w:t>
        </w:r>
      </w:ins>
      <w:ins w:id="10153" w:author="Z. Zukowski" w:date="2026-05-22T00:00:00Z">
        <w:r>
          <w:t xml:space="preserve">sub-sample (N = 23) filters to protocols where either TT &gt; 0 OR</w:t>
        </w:r>
      </w:ins>
      <w:ins w:id="10153" w:author="Z. Zukowski" w:date="2026-05-22T00:00:00Z">
        <w:r>
          <w:t xml:space="preserve"> </w:t>
        </w:r>
      </w:ins>
      <w:ins w:id="10153" w:author="Z. Zukowski" w:date="2026-05-22T00:00:00Z">
        <w:r>
          <w:t xml:space="preserve">OC &gt; 0; this excludes 3 protocols with TT subsidy_ratio = 0 explicitly (no</w:t>
        </w:r>
      </w:ins>
      <w:ins w:id="10153" w:author="Z. Zukowski" w:date="2026-05-22T00:00:00Z">
        <w:r>
          <w:t xml:space="preserve"> </w:t>
        </w:r>
      </w:ins>
      <w:ins w:id="10153" w:author="Z. Zukowski" w:date="2026-05-22T00:00:00Z">
        <w:r>
          <w:t xml:space="preserve">subsidy under either methodology). The methodology is documented in this</w:t>
        </w:r>
      </w:ins>
      <w:ins w:id="10153" w:author="Z. Zukowski" w:date="2026-05-22T00:00:00Z">
        <w:r>
          <w:t xml:space="preserve"> </w:t>
        </w:r>
      </w:ins>
      <w:ins w:id="10153" w:author="Z. Zukowski" w:date="2026-05-22T00:00:00Z">
        <w:r>
          <w:t xml:space="preserve">footnote pre-emptively to facilitate reviewer reproduction of the cross-</w:t>
        </w:r>
      </w:ins>
      <w:ins w:id="10153" w:author="Z. Zukowski" w:date="2026-05-22T00:00:00Z">
        <w:r>
          <w:t xml:space="preserve"> </w:t>
        </w:r>
      </w:ins>
      <w:ins w:id="10153" w:author="Z. Zukowski" w:date="2026-05-22T00:00:00Z">
        <w:r>
          <w:t xml:space="preserve">sector subsidy correlation values, qualitatively replicating the main result that subsidy and</w:t>
        </w:r>
      </w:ins>
      <w:ins w:id="10153" w:author="Z. Zukowski" w:date="2026-05-22T00:00:00Z">
        <w:r>
          <w:t xml:space="preserve"> </w:t>
        </w:r>
      </w:ins>
      <w:ins w:id="10153" w:author="Z. Zukowski" w:date="2026-05-22T00:00:00Z">
        <w:r>
          <w:t xml:space="preserve">HHI co-vary only through the Livepeer outlier.</w:t>
        </w:r>
      </w:ins>
    </w:p>
    <w:p>
      <w:pPr>
        <w:pStyle w:val="BodyText"/>
      </w:pPr>
      <w:ins w:id="10154" w:author="Z. Zukowski" w:date="2026-05-22T00:00:00Z">
        <w:r>
          <w:t xml:space="preserve">A multivariate</w:t>
        </w:r>
      </w:ins>
      <w:ins w:id="10154" w:author="Z. Zukowski" w:date="2026-05-22T00:00:00Z">
        <w:r>
          <w:t xml:space="preserve"> </w:t>
        </w:r>
      </w:ins>
      <w:ins w:id="10154" w:author="Z. Zukowski" w:date="2026-05-22T00:00:00Z">
        <w:r>
          <w:t xml:space="preserve">specification with both subsidy ratio and DePIN sector indicator on the</w:t>
        </w:r>
      </w:ins>
      <w:ins w:id="10154" w:author="Z. Zukowski" w:date="2026-05-22T00:00:00Z">
        <w:r>
          <w:t xml:space="preserve"> </w:t>
        </w:r>
      </w:ins>
      <w:ins w:id="10154" w:author="Z. Zukowski" w:date="2026-05-22T00:00:00Z">
        <w:r>
          <w:t xml:space="preserve">23-protocol non-zero-subsidy sample (HC3 robust standard errors, a variance estimator that does not assume equal error variance across observations)</w:t>
        </w:r>
      </w:ins>
      <w:ins w:id="10154" w:author="Z. Zukowski" w:date="2026-05-22T00:00:00Z">
        <w:r>
          <w:t xml:space="preserve"> </w:t>
        </w:r>
      </w:ins>
      <w:ins w:id="10154" w:author="Z. Zukowski" w:date="2026-05-22T00:00:00Z">
        <w:r>
          <w:t xml:space="preserve">further reinforces the Livepeer-driven interpretation: with all 23</w:t>
        </w:r>
      </w:ins>
      <w:ins w:id="10154" w:author="Z. Zukowski" w:date="2026-05-22T00:00:00Z">
        <w:r>
          <w:t xml:space="preserve"> </w:t>
        </w:r>
      </w:ins>
      <w:ins w:id="10154" w:author="Z. Zukowski" w:date="2026-05-22T00:00:00Z">
        <w:r>
          <w:t xml:space="preserve">protocols, the DePIN sector indicator is significant (p = 0.030) while subsidy</w:t>
        </w:r>
      </w:ins>
      <w:ins w:id="10154" w:author="Z. Zukowski" w:date="2026-05-22T00:00:00Z">
        <w:r>
          <w:t xml:space="preserve"> </w:t>
        </w:r>
      </w:ins>
      <w:ins w:id="10154" w:author="Z. Zukowski" w:date="2026-05-22T00:00:00Z">
        <w:r>
          <w:t xml:space="preserve">is not (p = 0.36; Adj R-squared = 0.49); excluding Livepeer, the</w:t>
        </w:r>
      </w:ins>
      <w:ins w:id="10154" w:author="Z. Zukowski" w:date="2026-05-22T00:00:00Z">
        <w:r>
          <w:t xml:space="preserve"> </w:t>
        </w:r>
      </w:ins>
      <w:ins w:id="10154" w:author="Z. Zukowski" w:date="2026-05-22T00:00:00Z">
        <w:r>
          <w:t xml:space="preserve">subsidy coefficient is strongly non-significant (p = 0.93) while the</w:t>
        </w:r>
      </w:ins>
      <w:ins w:id="10154" w:author="Z. Zukowski" w:date="2026-05-22T00:00:00Z">
        <w:r>
          <w:t xml:space="preserve"> </w:t>
        </w:r>
      </w:ins>
      <w:ins w:id="10154" w:author="Z. Zukowski" w:date="2026-05-22T00:00:00Z">
        <w:r>
          <w:t xml:space="preserve">DePIN sector indicator is significant (p = 0.004), indicating</w:t>
        </w:r>
      </w:ins>
      <w:ins w:id="10154" w:author="Z. Zukowski" w:date="2026-05-22T00:00:00Z">
        <w:r>
          <w:t xml:space="preserve"> </w:t>
        </w:r>
      </w:ins>
      <w:ins w:id="10154" w:author="Z. Zukowski" w:date="2026-05-22T00:00:00Z">
        <w:r>
          <w:t xml:space="preserve">that the apparent subsidy-HHI relationship is fully absorbed by</w:t>
        </w:r>
      </w:ins>
      <w:ins w:id="10154" w:author="Z. Zukowski" w:date="2026-05-22T00:00:00Z">
        <w:r>
          <w:t xml:space="preserve"> </w:t>
        </w:r>
      </w:ins>
      <w:ins w:id="10154" w:author="Z. Zukowski" w:date="2026-05-22T00:00:00Z">
        <w:r>
          <w:t xml:space="preserve">sector membership absent the single extreme observation. Per-sector</w:t>
        </w:r>
      </w:ins>
      <w:ins w:id="10154" w:author="Z. Zukowski" w:date="2026-05-22T00:00:00Z">
        <w:r>
          <w:t xml:space="preserve"> </w:t>
        </w:r>
      </w:ins>
      <w:ins w:id="10154" w:author="Z. Zukowski" w:date="2026-05-22T00:00:00Z">
        <w:r>
          <w:t xml:space="preserve">results in</w:t>
        </w:r>
      </w:ins>
      <w:ins w:id="10154" w:author="Z. Zukowski" w:date="2026-05-22T00:00:00Z">
        <w:r>
          <w:t xml:space="preserve"> </w:t>
        </w:r>
      </w:ins>
      <w:hyperlink r:id="rId85">
        <w:ins w:id="10154" w:author="Z. Zukowski" w:date="2026-05-22T00:00:00Z">
          <w:r>
            <w:rPr>
              <w:rStyle w:val="Hyperlink"/>
            </w:rPr>
            <w:t xml:space="preserve">Supplementary File S8</w:t>
          </w:r>
        </w:ins>
      </w:hyperlink>
      <w:ins w:id="10154" w:author="Z. Zukowski" w:date="2026-05-22T00:00:00Z">
        <w:r>
          <w:t xml:space="preserve">.</w:t>
        </w:r>
      </w:ins>
    </w:p>
    <w:p>
      <w:pPr>
        <w:pStyle w:val="BodyText"/>
      </w:pPr>
      <w:r>
        <w:drawing>
          <wp:inline>
            <wp:extent cx="5334000" cy="4186514"/>
            <wp:effectExtent b="0" l="0" r="0" t="0"/>
            <wp:docPr descr="" title="" id="87" name="Picture"/>
            <a:graphic>
              <a:graphicData uri="http://schemas.openxmlformats.org/drawingml/2006/picture">
                <pic:pic>
                  <pic:nvPicPr>
                    <pic:cNvPr descr="media/fig7_subsidy_scatter.png" id="88" name="Picture"/>
                    <pic:cNvPicPr>
                      <a:picLocks noChangeArrowheads="1" noChangeAspect="1"/>
                    </pic:cNvPicPr>
                  </pic:nvPicPr>
                  <pic:blipFill>
                    <a:blip r:embed="rId86"/>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7.</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85">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90" w:name="voting-hhi-methodology-robustness"/>
    <w:p>
      <w:pPr>
        <w:pStyle w:val="Heading3"/>
      </w:pPr>
      <w:r>
        <w:t xml:space="preserve">4.6.1 Voting-HHI methodology robustness</w:t>
      </w:r>
    </w:p>
    <w:p>
      <w:pPr>
        <w:pStyle w:val="FirstParagraph"/>
      </w:pPr>
      <w:ins w:id="10155"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56"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56" w:author="Z. Zukowski" w:date="2026-05-22T00:00:00Z">
        <w:r>
          <w:t xml:space="preserve"> </w:t>
        </w:r>
      </w:ins>
      <w:ins w:id="10156" w:author="Z. Zukowski" w:date="2026-05-22T00:00:00Z">
        <w:r>
          <w:rPr>
            <w:rStyle w:val="VerbatimChar"/>
          </w:rPr>
          <w:t xml:space="preserve">exclusions_log_signer.csv</w:t>
        </w:r>
      </w:ins>
      <w:ins w:id="10156"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56" w:author="Z. Zukowski" w:date="2026-05-22T00:00:00Z">
        <w:r>
          <w:t xml:space="preserve"> </w:t>
        </w:r>
      </w:ins>
      <w:hyperlink r:id="rId89">
        <w:ins w:id="10156" w:author="Z. Zukowski" w:date="2026-05-22T00:00:00Z">
          <w:r>
            <w:rPr>
              <w:rStyle w:val="Hyperlink"/>
            </w:rPr>
            <w:t xml:space="preserve">Supplementary File S12</w:t>
          </w:r>
        </w:ins>
      </w:hyperlink>
      <w:ins w:id="10156" w:author="Z. Zukowski" w:date="2026-05-22T00:00:00Z">
        <w:r>
          <w:t xml:space="preserve">.</w:t>
        </w:r>
      </w:ins>
    </w:p>
    <w:p>
      <w:pPr>
        <w:pStyle w:val="BodyText"/>
      </w:pPr>
      <w:ins w:id="10157" w:author="Z. Zukowski" w:date="2026-05-22T00:00:00Z">
        <w:r>
          <w:rPr>
            <w:b/>
            <w:bCs/>
          </w:rPr>
          <w:t xml:space="preserve">Tally delegate-sample depth.</w:t>
        </w:r>
      </w:ins>
      <w:ins w:id="10157" w:author="Z. Zukowski" w:date="2026-05-22T00:00:00Z">
        <w:r>
          <w:t xml:space="preserve"> </w:t>
        </w:r>
      </w:ins>
      <w:ins w:id="10157"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58" w:author="Z. Zukowski" w:date="2026-05-22T00:00:00Z">
        <w:r>
          <w:rPr>
            <w:b/>
            <w:bCs/>
          </w:rPr>
          <w:t xml:space="preserve">Snapshot signer-side functional PCAs.</w:t>
        </w:r>
      </w:ins>
      <w:ins w:id="10158" w:author="Z. Zukowski" w:date="2026-05-22T00:00:00Z">
        <w:r>
          <w:t xml:space="preserve"> </w:t>
        </w:r>
      </w:ins>
      <w:ins w:id="10158"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58" w:author="Z. Zukowski" w:date="2026-05-22T00:00:00Z">
        <w:r>
          <w:t xml:space="preserve"> </w:t>
        </w:r>
      </w:ins>
      <w:ins w:id="10158" w:author="Z. Zukowski" w:date="2026-05-22T00:00:00Z">
        <w:r>
          <w:rPr>
            <w:rStyle w:val="VerbatimChar"/>
          </w:rPr>
          <w:t xml:space="preserve">exclusions_log_signer.csv</w:t>
        </w:r>
      </w:ins>
      <w:ins w:id="10158"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59"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59" w:author="Z. Zukowski" w:date="2026-05-22T00:00:00Z">
        <w:r>
          <w:t xml:space="preserve"> </w:t>
        </w:r>
      </w:ins>
      <w:ins w:id="10159" w:author="Z. Zukowski" w:date="2026-05-22T00:00:00Z">
        <w:r>
          <w:t xml:space="preserve">“warm wallet”</w:t>
        </w:r>
      </w:ins>
      <w:ins w:id="10159" w:author="Z. Zukowski" w:date="2026-05-22T00:00:00Z">
        <w:r>
          <w:t xml:space="preserve"> </w:t>
        </w:r>
      </w:ins>
      <w:ins w:id="10159"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60"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60" w:author="Z. Zukowski" w:date="2026-05-22T00:00:00Z">
        <w:r>
          <w:t xml:space="preserve"> </w:t>
        </w:r>
      </w:ins>
      <w:ins w:id="10160" w:author="Z. Zukowski" w:date="2026-05-22T00:00:00Z">
        <w:r>
          <w:rPr>
            <w:i/>
            <w:iCs/>
          </w:rPr>
          <w:t xml:space="preserve">increases</w:t>
        </w:r>
      </w:ins>
      <w:ins w:id="10160" w:author="Z. Zukowski" w:date="2026-05-22T00:00:00Z">
        <w:r>
          <w:t xml:space="preserve"> </w:t>
        </w:r>
      </w:ins>
      <w:ins w:id="10160"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61" w:author="Z. Zukowski" w:date="2026-05-22T00:00:00Z">
        <w:r>
          <w:rPr>
            <w:b/>
            <w:bCs/>
          </w:rPr>
          <w:t xml:space="preserve">Solana proper-weight methodology.</w:t>
        </w:r>
      </w:ins>
      <w:ins w:id="10161" w:author="Z. Zukowski" w:date="2026-05-22T00:00:00Z">
        <w:r>
          <w:t xml:space="preserve"> </w:t>
        </w:r>
      </w:ins>
      <w:ins w:id="10161" w:author="Z. Zukowski" w:date="2026-05-22T00:00:00Z">
        <w:r>
          <w:t xml:space="preserve">Three Solana protocols supply apples-to-apples voting HHI under proper-weight methodology: JUP at 0.00546 (per-signer max(weight) on</w:t>
        </w:r>
      </w:ins>
      <w:ins w:id="10161" w:author="Z. Zukowski" w:date="2026-05-22T00:00:00Z">
        <w:r>
          <w:t xml:space="preserve"> </w:t>
        </w:r>
      </w:ins>
      <w:ins w:id="10161" w:author="Z. Zukowski" w:date="2026-05-22T00:00:00Z">
        <w:r>
          <w:rPr>
            <w:rStyle w:val="VerbatimChar"/>
          </w:rPr>
          <w:t xml:space="preserve">jupiter_solana.govern_call_setvote</w:t>
        </w:r>
      </w:ins>
      <w:ins w:id="10161"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62" w:author="Z. Zukowski" w:date="2026-05-22T00:00:00Z">
        <w:r>
          <w:rPr>
            <w:b/>
            <w:bCs/>
          </w:rPr>
          <w:t xml:space="preserve">Synthesis.</w:t>
        </w:r>
      </w:ins>
      <w:ins w:id="10162" w:author="Z. Zukowski" w:date="2026-05-22T00:00:00Z">
        <w:r>
          <w:t xml:space="preserve"> </w:t>
        </w:r>
      </w:ins>
      <w:ins w:id="10162"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ins>
      <w:ins w:id="10162" w:author="Z. Zukowski" w:date="2026-05-22T00:00:00Z">
        <w:r>
          <w:t xml:space="preserve"> </w:t>
        </w:r>
      </w:ins>
      <w:hyperlink r:id="rId89">
        <w:ins w:id="10162" w:author="Z. Zukowski" w:date="2026-05-22T00:00:00Z">
          <w:r>
            <w:rPr>
              <w:rStyle w:val="Hyperlink"/>
            </w:rPr>
            <w:t xml:space="preserve">Supplementary File S12</w:t>
          </w:r>
        </w:ins>
      </w:hyperlink>
      <w:ins w:id="10162" w:author="Z. Zukowski" w:date="2026-05-22T00:00:00Z">
        <w:r>
          <w:t xml:space="preserve">.</w:t>
        </w:r>
      </w:ins>
    </w:p>
    <w:bookmarkEnd w:id="90"/>
    <w:bookmarkStart w:id="92" w:name="pca-exclusion-strictness-robustness"/>
    <w:p>
      <w:pPr>
        <w:pStyle w:val="Heading3"/>
      </w:pPr>
      <w:ins w:id="10163" w:author="Z. Zukowski" w:date="2026-05-22T00:00:00Z">
        <w:r>
          <w:t xml:space="preserve">4.6.2 PCA exclusion strictness robustness</w:t>
        </w:r>
      </w:ins>
    </w:p>
    <w:p>
      <w:pPr>
        <w:pStyle w:val="FirstParagraph"/>
      </w:pPr>
      <w:ins w:id="10164" w:author="Z. Zukowski" w:date="2026-05-22T00:00:00Z">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ins>
    </w:p>
    <w:p>
      <w:pPr>
        <w:pStyle w:val="BodyText"/>
      </w:pPr>
      <w:ins w:id="10165" w:author="Z. Zukowski" w:date="2026-05-22T00:00:00Z">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1.52],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That gap is a heavy-tail signature rather than an absence of effect: a single Convex-controlled vote-escrow bloc on the DeFi side enlarges the mean-difference permutation null, whereas the rank-based Mann-Whitney test is insensitive to the magnitude of that tail, which is why we treat the rank-based result as the primary inference and the marginal mean-based permutation as a disclosed tail-sensitivity. The two treatments agree on the substantive reading: the direction is robust, the magnitude is medium, and significance sits at the margin of conventional thresholds and depends on the test.</w:t>
        </w:r>
      </w:ins>
    </w:p>
    <w:p>
      <w:pPr>
        <w:pStyle w:val="BodyText"/>
      </w:pPr>
      <w:ins w:id="10166" w:author="Z. Zukowski" w:date="2026-05-22T00:00:00Z">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ins>
    </w:p>
    <w:p>
      <w:pPr>
        <w:pStyle w:val="BodyText"/>
      </w:pPr>
      <w:ins w:id="10167" w:author="Z. Zukowski" w:date="2026-05-22T00:00:00Z">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ins>
    </w:p>
    <w:p>
      <w:pPr>
        <w:pStyle w:val="BodyText"/>
      </w:pPr>
      <w:ins w:id="10168" w:author="Z. Zukowski" w:date="2026-05-22T00:00:00Z">
        <w:r>
          <w:t xml:space="preserve">Full per-specification table, per-cell numerical detail, and the per-pool staking decomposition are in Supplementary Files S10 and S22, the former at</w:t>
        </w:r>
      </w:ins>
      <w:ins w:id="10168" w:author="Z. Zukowski" w:date="2026-05-22T00:00:00Z">
        <w:r>
          <w:t xml:space="preserve"> </w:t>
        </w:r>
      </w:ins>
      <w:hyperlink r:id="rId91">
        <w:ins w:id="10168" w:author="Z. Zukowski" w:date="2026-05-22T00:00:00Z">
          <w:r>
            <w:rPr>
              <w:rStyle w:val="Hyperlink"/>
            </w:rPr>
            <w:t xml:space="preserve">Supplementary File S10</w:t>
          </w:r>
        </w:ins>
      </w:hyperlink>
      <w:ins w:id="10168" w:author="Z. Zukowski" w:date="2026-05-22T00:00:00Z">
        <w:r>
          <w:t xml:space="preserve">.</w:t>
        </w:r>
      </w:ins>
    </w:p>
    <w:bookmarkEnd w:id="92"/>
    <w:bookmarkStart w:id="94" w:name="Xae9e455893dd4d58abdf64eb7fc07743fcf6bf6"/>
    <w:p>
      <w:pPr>
        <w:pStyle w:val="Heading3"/>
      </w:pPr>
      <w:r>
        <w:t xml:space="preserve">4.6.3 Cross-metric and supplementary robustness</w:t>
      </w:r>
    </w:p>
    <w:p>
      <w:pPr>
        <w:pStyle w:val="FirstParagraph"/>
      </w:pPr>
      <w:ins w:id="10169" w:author="Z. Zukowski" w:date="2026-05-22T00:00:00Z">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 The same HHI-Gini divergence appears on the voting-power axis, and more sharply. Across the protocols with voting data, voting-power Gini is near-maximal (median 0.94, with only the ten-voter DIMO sample below 0.85) even where voting HHI is an order of magnitude lower (ENS delegate voting HHI is 0.022 against a voting Gini of 0.876), so the two metrics are uncorrelated on the voting samples (Pearson r approximately 0) rather than moderately coupled as on the holding side. This near-maximal voting Gini reflects top-delegate vote-power dominance and the heavy-tailed distribution of voting weight rather than the near-zero-balance ledger structure behind the holding Gini; because these values are computed over truncated top-N samples (top-100 active voters for off-chain venues, top-1,000 delegates for on-chain registries) that differ in both population and depth from the post-exclusion top-1,000-holder Gini, they are reported as a within-axis robustness descriptor in</w:t>
        </w:r>
      </w:ins>
      <w:ins w:id="10169" w:author="Z. Zukowski" w:date="2026-05-22T00:00:00Z">
        <w:r>
          <w:t xml:space="preserve"> </w:t>
        </w:r>
      </w:ins>
      <w:hyperlink r:id="rId93">
        <w:ins w:id="10169" w:author="Z. Zukowski" w:date="2026-05-22T00:00:00Z">
          <w:r>
            <w:rPr>
              <w:rStyle w:val="Hyperlink"/>
            </w:rPr>
            <w:t xml:space="preserve">Supplementary File S9</w:t>
          </w:r>
        </w:ins>
      </w:hyperlink>
      <w:ins w:id="10169" w:author="Z. Zukowski" w:date="2026-05-22T00:00:00Z">
        <w:r>
          <w:t xml:space="preserve"> </w:t>
        </w:r>
      </w:ins>
      <w:ins w:id="10169" w:author="Z. Zukowski" w:date="2026-05-22T00:00:00Z">
        <w:r>
          <w:t xml:space="preserve">rather than as a measure comparable across the holding and voting axes. The substitution failure is therefore more severe for voting power than for holdings: HHI, not an inequality coefficient, must be the primary voting-concentration measure.</w:t>
        </w:r>
      </w:ins>
    </w:p>
    <w:p>
      <w:pPr>
        <w:pStyle w:val="BodyText"/>
      </w:pPr>
      <w:ins w:id="10170"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94"/>
    <w:bookmarkStart w:id="95" w:name="insider-classification-robustness"/>
    <w:p>
      <w:pPr>
        <w:pStyle w:val="Heading3"/>
      </w:pPr>
      <w:r>
        <w:t xml:space="preserve">4.6.4 Insider-classification robustness</w:t>
      </w:r>
    </w:p>
    <w:p>
      <w:pPr>
        <w:pStyle w:val="FirstParagraph"/>
      </w:pPr>
      <w:ins w:id="10171"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71" w:author="Z. Zukowski" w:date="2026-05-22T00:00:00Z">
        <w:r>
          <w:t xml:space="preserve"> </w:t>
        </w:r>
      </w:ins>
      <w:hyperlink r:id="rId36">
        <w:ins w:id="10171" w:author="Z. Zukowski" w:date="2026-05-22T00:00:00Z">
          <w:r>
            <w:rPr>
              <w:rStyle w:val="Hyperlink"/>
            </w:rPr>
            <w:t xml:space="preserve">Supplementary File S22</w:t>
          </w:r>
        </w:ins>
      </w:hyperlink>
      <w:ins w:id="10171"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95"/>
    <w:bookmarkEnd w:id="96"/>
    <w:bookmarkEnd w:id="97"/>
    <w:bookmarkStart w:id="110" w:name="discussion"/>
    <w:p>
      <w:pPr>
        <w:pStyle w:val="Heading1"/>
      </w:pPr>
      <w:r>
        <w:t xml:space="preserve">5 Discussion</w:t>
      </w:r>
    </w:p>
    <w:bookmarkStart w:id="98" w:name="measurement-implications"/>
    <w:p>
      <w:pPr>
        <w:pStyle w:val="Heading2"/>
      </w:pPr>
      <w:r>
        <w:t xml:space="preserve">5.1 Measurement Implications</w:t>
      </w:r>
    </w:p>
    <w:p>
      <w:pPr>
        <w:pStyle w:val="FirstParagraph"/>
      </w:pPr>
      <w:ins w:id="10172" w:author="Z. Zukowski" w:date="2026-05-22T00:00:00Z">
        <w:r>
          <w:t xml:space="preserve">A decentralization claim is not supported by launch allocation or raw holder lists; it requires a live-governance audit of PCA-corrected holdings, insider retention, and voting power. HHI is the paper’s primary concentration measure, not governance power itself. The audit therefore begins with current holder composition and explicit PCA exclusions, then adds insider-retention checks and voting-power measurement.</w:t>
        </w:r>
      </w:ins>
    </w:p>
    <w:p>
      <w:pPr>
        <w:pStyle w:val="BodyText"/>
      </w:pPr>
      <w:ins w:id="10173" w:author="Z. Zukowski" w:date="2026-05-22T00:00:00Z">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8"/>
    <w:bookmarkStart w:id="99" w:name="governance-design-implications"/>
    <w:p>
      <w:pPr>
        <w:pStyle w:val="Heading2"/>
      </w:pPr>
      <w:r>
        <w:t xml:space="preserve">5.2 Governance Design Implications</w:t>
      </w:r>
    </w:p>
    <w:p>
      <w:pPr>
        <w:pStyle w:val="FirstParagraph"/>
      </w:pPr>
      <w:ins w:id="10174" w:author="Z. Zukowski" w:date="2026-05-22T00:00:00Z">
        <w:r>
          <w:t xml:space="preserve">The empirical findings do not prove that any one design is sufficient</w:t>
        </w:r>
      </w:ins>
      <w:ins w:id="10174" w:author="Z. Zukowski" w:date="2026-05-22T00:00:00Z">
        <w:r>
          <w:t xml:space="preserve"> </w:t>
        </w:r>
      </w:ins>
      <w:ins w:id="10174" w:author="Z. Zukowski" w:date="2026-05-22T00:00:00Z">
        <w:r>
          <w:t xml:space="preserve">for deconcentration, but they identify design levers that merit closer</w:t>
        </w:r>
      </w:ins>
      <w:ins w:id="10174" w:author="Z. Zukowski" w:date="2026-05-22T00:00:00Z">
        <w:r>
          <w:t xml:space="preserve"> </w:t>
        </w:r>
      </w:ins>
      <w:ins w:id="10174" w:author="Z. Zukowski" w:date="2026-05-22T00:00:00Z">
        <w:r>
          <w:t xml:space="preserve">evaluation. DePIN shows higher concentration in this corrected</w:t>
        </w:r>
      </w:ins>
      <w:ins w:id="10174" w:author="Z. Zukowski" w:date="2026-05-22T00:00:00Z">
        <w:r>
          <w:t xml:space="preserve"> </w:t>
        </w:r>
      </w:ins>
      <w:ins w:id="10174" w:author="Z. Zukowski" w:date="2026-05-22T00:00:00Z">
        <w:r>
          <w:t xml:space="preserve">cross-section, but the low-concentration DePIN counterexamples make the</w:t>
        </w:r>
      </w:ins>
      <w:ins w:id="10174" w:author="Z. Zukowski" w:date="2026-05-22T00:00:00Z">
        <w:r>
          <w:t xml:space="preserve"> </w:t>
        </w:r>
      </w:ins>
      <w:ins w:id="10174" w:author="Z. Zukowski" w:date="2026-05-22T00:00:00Z">
        <w:r>
          <w:t xml:space="preserve">pattern design-tractable rather than sector destiny: Anyone Protocol and</w:t>
        </w:r>
      </w:ins>
      <w:ins w:id="10174" w:author="Z. Zukowski" w:date="2026-05-22T00:00:00Z">
        <w:r>
          <w:t xml:space="preserve"> </w:t>
        </w:r>
      </w:ins>
      <w:ins w:id="10174" w:author="Z. Zukowski" w:date="2026-05-22T00:00:00Z">
        <w:r>
          <w:t xml:space="preserve">Hivemapper show that low DePIN holding concentration is achievable</w:t>
        </w:r>
      </w:ins>
      <w:ins w:id="10174" w:author="Z. Zukowski" w:date="2026-05-22T00:00:00Z">
        <w:r>
          <w:t xml:space="preserve"> </w:t>
        </w:r>
      </w:ins>
      <w:ins w:id="10174" w:author="Z. Zukowski" w:date="2026-05-22T00:00:00Z">
        <w:r>
          <w:t xml:space="preserve">despite the sector-level pattern. The same point holds on the voting</w:t>
        </w:r>
      </w:ins>
      <w:ins w:id="10174" w:author="Z. Zukowski" w:date="2026-05-22T00:00:00Z">
        <w:r>
          <w:t xml:space="preserve"> </w:t>
        </w:r>
      </w:ins>
      <w:ins w:id="10174" w:author="Z. Zukowski" w:date="2026-05-22T00:00:00Z">
        <w:r>
          <w:t xml:space="preserve">surface. ENS, GMX, HNT, JUP, and LPT show that delegation can disperse</w:t>
        </w:r>
      </w:ins>
      <w:ins w:id="10174" w:author="Z. Zukowski" w:date="2026-05-22T00:00:00Z">
        <w:r>
          <w:t xml:space="preserve"> </w:t>
        </w:r>
      </w:ins>
      <w:ins w:id="10174" w:author="Z. Zukowski" w:date="2026-05-22T00:00:00Z">
        <w:r>
          <w:t xml:space="preserve">voting power at or below the holding baseline under different delegate-program,</w:t>
        </w:r>
      </w:ins>
      <w:ins w:id="10174" w:author="Z. Zukowski" w:date="2026-05-22T00:00:00Z">
        <w:r>
          <w:t xml:space="preserve"> </w:t>
        </w:r>
      </w:ins>
      <w:ins w:id="10174" w:author="Z. Zukowski" w:date="2026-05-22T00:00:00Z">
        <w:r>
          <w:t xml:space="preserve">voting-mechanism, or bonded-stake-delegation designs, while</w:t>
        </w:r>
      </w:ins>
      <w:ins w:id="10174" w:author="Z. Zukowski" w:date="2026-05-22T00:00:00Z">
        <w:r>
          <w:t xml:space="preserve"> </w:t>
        </w:r>
      </w:ins>
      <w:ins w:id="10174" w:author="Z. Zukowski" w:date="2026-05-22T00:00:00Z">
        <w:r>
          <w:t xml:space="preserve">Curve and Balancer show that vote-escrowed governance can amplify voting</w:t>
        </w:r>
      </w:ins>
      <w:ins w:id="10174" w:author="Z. Zukowski" w:date="2026-05-22T00:00:00Z">
        <w:r>
          <w:t xml:space="preserve"> </w:t>
        </w:r>
      </w:ins>
      <w:ins w:id="10174" w:author="Z. Zukowski" w:date="2026-05-22T00:00:00Z">
        <w:r>
          <w:t xml:space="preserve">concentration far above raw token holdings. The practical design hook is</w:t>
        </w:r>
      </w:ins>
      <w:ins w:id="10174" w:author="Z. Zukowski" w:date="2026-05-22T00:00:00Z">
        <w:r>
          <w:t xml:space="preserve"> </w:t>
        </w:r>
      </w:ins>
      <w:ins w:id="10174" w:author="Z. Zukowski" w:date="2026-05-22T00:00:00Z">
        <w:r>
          <w:t xml:space="preserve">delegation itself: a delegate program is a governance instrument that</w:t>
        </w:r>
      </w:ins>
      <w:ins w:id="10174" w:author="Z. Zukowski" w:date="2026-05-22T00:00:00Z">
        <w:r>
          <w:t xml:space="preserve"> </w:t>
        </w:r>
      </w:ins>
      <w:ins w:id="10174" w:author="Z. Zukowski" w:date="2026-05-22T00:00:00Z">
        <w:r>
          <w:t xml:space="preserve">concentrates or disperses voting power by design, so delegate programs</w:t>
        </w:r>
      </w:ins>
      <w:ins w:id="10174" w:author="Z. Zukowski" w:date="2026-05-22T00:00:00Z">
        <w:r>
          <w:t xml:space="preserve"> </w:t>
        </w:r>
      </w:ins>
      <w:ins w:id="10174" w:author="Z. Zukowski" w:date="2026-05-22T00:00:00Z">
        <w:r>
          <w:t xml:space="preserve">need concentration audits of their own rather than a presumption that</w:t>
        </w:r>
      </w:ins>
      <w:ins w:id="10174" w:author="Z. Zukowski" w:date="2026-05-22T00:00:00Z">
        <w:r>
          <w:t xml:space="preserve"> </w:t>
        </w:r>
      </w:ins>
      <w:ins w:id="10174" w:author="Z. Zukowski" w:date="2026-05-22T00:00:00Z">
        <w:r>
          <w:t xml:space="preserve">delegation deconcentrates.</w:t>
        </w:r>
      </w:ins>
    </w:p>
    <w:p>
      <w:pPr>
        <w:pStyle w:val="BodyText"/>
      </w:pPr>
      <w:ins w:id="10175" w:author="Z. Zukowski" w:date="2026-05-22T00:00:00Z">
        <w:r>
          <w:t xml:space="preserve">For practitioners, the immediate design lesson is to measure current</w:t>
        </w:r>
      </w:ins>
      <w:ins w:id="10175" w:author="Z. Zukowski" w:date="2026-05-22T00:00:00Z">
        <w:r>
          <w:t xml:space="preserve"> </w:t>
        </w:r>
      </w:ins>
      <w:ins w:id="10175" w:author="Z. Zukowski" w:date="2026-05-22T00:00:00Z">
        <w:r>
          <w:t xml:space="preserve">governance power rather than infer it from launch documents. Token</w:t>
        </w:r>
      </w:ins>
      <w:ins w:id="10175" w:author="Z. Zukowski" w:date="2026-05-22T00:00:00Z">
        <w:r>
          <w:t xml:space="preserve"> </w:t>
        </w:r>
      </w:ins>
      <w:ins w:id="10175" w:author="Z. Zukowski" w:date="2026-05-22T00:00:00Z">
        <w:r>
          <w:t xml:space="preserve">allocation is a launch document; governance concentration is a live</w:t>
        </w:r>
      </w:ins>
      <w:ins w:id="10175" w:author="Z. Zukowski" w:date="2026-05-22T00:00:00Z">
        <w:r>
          <w:t xml:space="preserve"> </w:t>
        </w:r>
      </w:ins>
      <w:ins w:id="10175" w:author="Z. Zukowski" w:date="2026-05-22T00:00:00Z">
        <w:r>
          <w:t xml:space="preserve">institutional state. Protocols</w:t>
        </w:r>
      </w:ins>
      <w:ins w:id="10175" w:author="Z. Zukowski" w:date="2026-05-22T00:00:00Z">
        <w:r>
          <w:t xml:space="preserve"> </w:t>
        </w:r>
      </w:ins>
      <w:ins w:id="10175" w:author="Z. Zukowski" w:date="2026-05-22T00:00:00Z">
        <w:r>
          <w:t xml:space="preserve">should publish PCA-adjusted concentration metrics, delegate-power</w:t>
        </w:r>
      </w:ins>
      <w:ins w:id="10175" w:author="Z. Zukowski" w:date="2026-05-22T00:00:00Z">
        <w:r>
          <w:t xml:space="preserve"> </w:t>
        </w:r>
      </w:ins>
      <w:ins w:id="10175" w:author="Z. Zukowski" w:date="2026-05-22T00:00:00Z">
        <w:r>
          <w:t xml:space="preserve">concentration, and any vote-escrow amplification before asking users or</w:t>
        </w:r>
      </w:ins>
      <w:ins w:id="10175" w:author="Z. Zukowski" w:date="2026-05-22T00:00:00Z">
        <w:r>
          <w:t xml:space="preserve"> </w:t>
        </w:r>
      </w:ins>
      <w:ins w:id="10175" w:author="Z. Zukowski" w:date="2026-05-22T00:00:00Z">
        <w:r>
          <w:t xml:space="preserve">regulators to accept decentralization claims.</w:t>
        </w:r>
      </w:ins>
    </w:p>
    <w:p>
      <w:pPr>
        <w:pStyle w:val="BodyText"/>
      </w:pPr>
      <w:ins w:id="10176" w:author="Z. Zukowski" w:date="2026-05-22T00:00:00Z">
        <w:r>
          <w:t xml:space="preserve">These levers are consistent with the legal-governance theory of</w:t>
        </w:r>
      </w:ins>
      <w:ins w:id="10176" w:author="Z. Zukowski" w:date="2026-05-22T00:00:00Z">
        <w:r>
          <w:t xml:space="preserve"> </w:t>
        </w:r>
      </w:ins>
      <w:ins w:id="10176" w:author="Z. Zukowski" w:date="2026-05-22T00:00:00Z">
        <w:r>
          <w:t xml:space="preserve">Pagallo, Casanovas, and Madelin (2019), on which durable solutions</w:t>
        </w:r>
      </w:ins>
      <w:ins w:id="10176" w:author="Z. Zukowski" w:date="2026-05-22T00:00:00Z">
        <w:r>
          <w:t xml:space="preserve"> </w:t>
        </w:r>
      </w:ins>
      <w:ins w:id="10176" w:author="Z. Zukowski" w:date="2026-05-22T00:00:00Z">
        <w:r>
          <w:t xml:space="preserve">sit not at the extremes of pure code-as-law (bottom-up alone) or</w:t>
        </w:r>
      </w:ins>
      <w:ins w:id="10176" w:author="Z. Zukowski" w:date="2026-05-22T00:00:00Z">
        <w:r>
          <w:t xml:space="preserve"> </w:t>
        </w:r>
      </w:ins>
      <w:ins w:id="10176" w:author="Z. Zukowski" w:date="2026-05-22T00:00:00Z">
        <w:r>
          <w:t xml:space="preserve">pure mandate (top-down alone) but at a middle-out interface where</w:t>
        </w:r>
      </w:ins>
      <w:ins w:id="10176" w:author="Z. Zukowski" w:date="2026-05-22T00:00:00Z">
        <w:r>
          <w:t xml:space="preserve"> </w:t>
        </w:r>
      </w:ins>
      <w:ins w:id="10176" w:author="Z. Zukowski" w:date="2026-05-22T00:00:00Z">
        <w:r>
          <w:t xml:space="preserve">protocol design, market incentives, and governance rules jointly</w:t>
        </w:r>
      </w:ins>
      <w:ins w:id="10176" w:author="Z. Zukowski" w:date="2026-05-22T00:00:00Z">
        <w:r>
          <w:t xml:space="preserve"> </w:t>
        </w:r>
      </w:ins>
      <w:ins w:id="10176" w:author="Z. Zukowski" w:date="2026-05-22T00:00:00Z">
        <w:r>
          <w:t xml:space="preserve">constrain behaviour; co-regulation is one instance of that layer,</w:t>
        </w:r>
      </w:ins>
      <w:ins w:id="10176" w:author="Z. Zukowski" w:date="2026-05-22T00:00:00Z">
        <w:r>
          <w:t xml:space="preserve"> </w:t>
        </w:r>
      </w:ins>
      <w:ins w:id="10176" w:author="Z. Zukowski" w:date="2026-05-22T00:00:00Z">
        <w:r>
          <w:t xml:space="preserve">and delegate-program design, insider-retention rules, and</w:t>
        </w:r>
      </w:ins>
      <w:ins w:id="10176" w:author="Z. Zukowski" w:date="2026-05-22T00:00:00Z">
        <w:r>
          <w:t xml:space="preserve"> </w:t>
        </w:r>
      </w:ins>
      <w:ins w:id="10176" w:author="Z. Zukowski" w:date="2026-05-22T00:00:00Z">
        <w:r>
          <w:t xml:space="preserve">vote-escrow parameters are others. The design question is</w:t>
        </w:r>
      </w:ins>
      <w:ins w:id="10176" w:author="Z. Zukowski" w:date="2026-05-22T00:00:00Z">
        <w:r>
          <w:t xml:space="preserve"> </w:t>
        </w:r>
      </w:ins>
      <w:ins w:id="10176" w:author="Z. Zukowski" w:date="2026-05-22T00:00:00Z">
        <w:r>
          <w:t xml:space="preserve">therefore not decentralization versus centralization but which</w:t>
        </w:r>
      </w:ins>
      <w:ins w:id="10176" w:author="Z. Zukowski" w:date="2026-05-22T00:00:00Z">
        <w:r>
          <w:t xml:space="preserve"> </w:t>
        </w:r>
      </w:ins>
      <w:ins w:id="10176" w:author="Z. Zukowski" w:date="2026-05-22T00:00:00Z">
        <w:r>
          <w:t xml:space="preserve">equilibrium a protocol selects at that middle-out layer.</w:t>
        </w:r>
      </w:ins>
    </w:p>
    <w:p>
      <w:pPr>
        <w:pStyle w:val="BodyText"/>
      </w:pPr>
      <w:ins w:id="10177" w:author="Z. Zukowski" w:date="2026-05-22T00:00:00Z">
        <w:r>
          <w:t xml:space="preserve">The design levers identified here map onto the principles Ostrom (1990)</w:t>
        </w:r>
      </w:ins>
      <w:ins w:id="10177" w:author="Z. Zukowski" w:date="2026-05-22T00:00:00Z">
        <w:r>
          <w:t xml:space="preserve"> </w:t>
        </w:r>
      </w:ins>
      <w:ins w:id="10177" w:author="Z. Zukowski" w:date="2026-05-22T00:00:00Z">
        <w:r>
          <w:t xml:space="preserve">found in long-enduring commons institutions, among them collective-choice</w:t>
        </w:r>
      </w:ins>
      <w:ins w:id="10177" w:author="Z. Zukowski" w:date="2026-05-22T00:00:00Z">
        <w:r>
          <w:t xml:space="preserve"> </w:t>
        </w:r>
      </w:ins>
      <w:ins w:id="10177" w:author="Z. Zukowski" w:date="2026-05-22T00:00:00Z">
        <w:r>
          <w:t xml:space="preserve">arrangements in which most of those affected by the rules can participate</w:t>
        </w:r>
      </w:ins>
      <w:ins w:id="10177" w:author="Z. Zukowski" w:date="2026-05-22T00:00:00Z">
        <w:r>
          <w:t xml:space="preserve"> </w:t>
        </w:r>
      </w:ins>
      <w:ins w:id="10177" w:author="Z. Zukowski" w:date="2026-05-22T00:00:00Z">
        <w:r>
          <w:t xml:space="preserve">in modifying them, accountable monitoring, and graduated sanctions.</w:t>
        </w:r>
      </w:ins>
      <w:ins w:id="10177" w:author="Z. Zukowski" w:date="2026-05-22T00:00:00Z">
        <w:r>
          <w:t xml:space="preserve"> </w:t>
        </w:r>
      </w:ins>
      <w:ins w:id="10177" w:author="Z. Zukowski" w:date="2026-05-22T00:00:00Z">
        <w:r>
          <w:t xml:space="preserve">Protocol governance is presented to users as a working instance of that</w:t>
        </w:r>
      </w:ins>
      <w:ins w:id="10177" w:author="Z. Zukowski" w:date="2026-05-22T00:00:00Z">
        <w:r>
          <w:t xml:space="preserve"> </w:t>
        </w:r>
      </w:ins>
      <w:ins w:id="10177" w:author="Z. Zukowski" w:date="2026-05-22T00:00:00Z">
        <w:r>
          <w:t xml:space="preserve">polycentric commons ideal; the concentration documented here is</w:t>
        </w:r>
      </w:ins>
      <w:ins w:id="10177" w:author="Z. Zukowski" w:date="2026-05-22T00:00:00Z">
        <w:r>
          <w:t xml:space="preserve"> </w:t>
        </w:r>
      </w:ins>
      <w:ins w:id="10177" w:author="Z. Zukowski" w:date="2026-05-22T00:00:00Z">
        <w:r>
          <w:t xml:space="preserve">inconsistent with it, because where a small number of holders command</w:t>
        </w:r>
      </w:ins>
      <w:ins w:id="10177" w:author="Z. Zukowski" w:date="2026-05-22T00:00:00Z">
        <w:r>
          <w:t xml:space="preserve"> </w:t>
        </w:r>
      </w:ins>
      <w:ins w:id="10177" w:author="Z. Zukowski" w:date="2026-05-22T00:00:00Z">
        <w:r>
          <w:t xml:space="preserve">decisive voting weight the collective-choice principle does not hold and</w:t>
        </w:r>
      </w:ins>
      <w:ins w:id="10177" w:author="Z. Zukowski" w:date="2026-05-22T00:00:00Z">
        <w:r>
          <w:t xml:space="preserve"> </w:t>
        </w:r>
      </w:ins>
      <w:ins w:id="10177" w:author="Z. Zukowski" w:date="2026-05-22T00:00:00Z">
        <w:r>
          <w:t xml:space="preserve">rule modification proceeds without the broad participation the commons</w:t>
        </w:r>
      </w:ins>
      <w:ins w:id="10177" w:author="Z. Zukowski" w:date="2026-05-22T00:00:00Z">
        <w:r>
          <w:t xml:space="preserve"> </w:t>
        </w:r>
      </w:ins>
      <w:ins w:id="10177" w:author="Z. Zukowski" w:date="2026-05-22T00:00:00Z">
        <w:r>
          <w:t xml:space="preserve">model presumes. What decentralization rhetoric invokes as commons</w:t>
        </w:r>
      </w:ins>
      <w:ins w:id="10177" w:author="Z. Zukowski" w:date="2026-05-22T00:00:00Z">
        <w:r>
          <w:t xml:space="preserve"> </w:t>
        </w:r>
      </w:ins>
      <w:ins w:id="10177" w:author="Z. Zukowski" w:date="2026-05-22T00:00:00Z">
        <w:r>
          <w:t xml:space="preserve">self-governance the data describes as concentrated control, the</w:t>
        </w:r>
      </w:ins>
      <w:ins w:id="10177" w:author="Z. Zukowski" w:date="2026-05-22T00:00:00Z">
        <w:r>
          <w:t xml:space="preserve"> </w:t>
        </w:r>
      </w:ins>
      <w:ins w:id="10177" w:author="Z. Zukowski" w:date="2026-05-22T00:00:00Z">
        <w:r>
          <w:t xml:space="preserve">decentralization illusion these findings make measurable. The companion</w:t>
        </w:r>
      </w:ins>
      <w:ins w:id="10177" w:author="Z. Zukowski" w:date="2026-05-22T00:00:00Z">
        <w:r>
          <w:t xml:space="preserve"> </w:t>
        </w:r>
      </w:ins>
      <w:ins w:id="10177" w:author="Z. Zukowski" w:date="2026-05-22T00:00:00Z">
        <w:r>
          <w:t xml:space="preserve">normative paper develops the standard by which a given distribution</w:t>
        </w:r>
      </w:ins>
      <w:ins w:id="10177" w:author="Z. Zukowski" w:date="2026-05-22T00:00:00Z">
        <w:r>
          <w:t xml:space="preserve"> </w:t>
        </w:r>
      </w:ins>
      <w:ins w:id="10177" w:author="Z. Zukowski" w:date="2026-05-22T00:00:00Z">
        <w:r>
          <w:t xml:space="preserve">counts as legitimate self-governance rather than domination (Zukowski,</w:t>
        </w:r>
      </w:ins>
      <w:ins w:id="10177" w:author="Z. Zukowski" w:date="2026-05-22T00:00:00Z">
        <w:r>
          <w:t xml:space="preserve"> </w:t>
        </w:r>
      </w:ins>
      <w:ins w:id="10177" w:author="Z. Zukowski" w:date="2026-05-22T00:00:00Z">
        <w:r>
          <w:t xml:space="preserve">2026f).</w:t>
        </w:r>
      </w:ins>
    </w:p>
    <w:bookmarkEnd w:id="99"/>
    <w:bookmarkStart w:id="100" w:name="risks-and-counterpoints"/>
    <w:p>
      <w:pPr>
        <w:pStyle w:val="Heading2"/>
      </w:pPr>
      <w:r>
        <w:t xml:space="preserve">5.3 Risks and Counterpoints</w:t>
      </w:r>
    </w:p>
    <w:p>
      <w:pPr>
        <w:pStyle w:val="FirstParagraph"/>
      </w:pPr>
      <w:ins w:id="10178"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ins>
    </w:p>
    <w:p>
      <w:pPr>
        <w:pStyle w:val="BodyText"/>
      </w:pPr>
      <w:ins w:id="10179"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and address-splitting is the measurement-scope limitation that the cross-wallet identity-resolution workstream targets (Sections 5.7 and 5.8). The paper therefore treats HHI and voting-HHI as necessary but not sufficient measures of governance power.</w:t>
        </w:r>
      </w:ins>
    </w:p>
    <w:bookmarkEnd w:id="100"/>
    <w:bookmarkStart w:id="101" w:name="position-in-literature"/>
    <w:p>
      <w:pPr>
        <w:pStyle w:val="Heading2"/>
      </w:pPr>
      <w:r>
        <w:t xml:space="preserve">5.4 Position in Literature</w:t>
      </w:r>
    </w:p>
    <w:p>
      <w:pPr>
        <w:pStyle w:val="FirstParagraph"/>
      </w:pPr>
      <w:ins w:id="10180" w:author="Z. Zukowski" w:date="2026-05-22T00:00:00Z">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ins>
    </w:p>
    <w:p>
      <w:pPr>
        <w:pStyle w:val="BodyText"/>
      </w:pPr>
      <w:ins w:id="10181"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101"/>
    <w:bookmarkStart w:id="102" w:name="summary-of-findings"/>
    <w:p>
      <w:pPr>
        <w:pStyle w:val="Heading2"/>
      </w:pPr>
      <w:r>
        <w:t xml:space="preserve">5.5 Summary of Findings</w:t>
      </w:r>
    </w:p>
    <w:p>
      <w:pPr>
        <w:pStyle w:val="FirstParagraph"/>
      </w:pPr>
      <w:ins w:id="10182"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0.09, p = 0.55, N = 50), while current insider wallet retention is associated with concentration (Spearman rho = 0.44, p = 0.005, N = 39); the non-insider HHI check supports this as more than a purely mechanical result (rho = 0.54).</w:t>
        </w:r>
      </w:ins>
    </w:p>
    <w:p>
      <w:pPr>
        <w:pStyle w:val="BodyText"/>
      </w:pPr>
      <w:ins w:id="10183" w:author="Z. Zukowski" w:date="2026-05-22T00:00:00Z">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84"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102"/>
    <w:bookmarkStart w:id="103" w:name="contributions"/>
    <w:p>
      <w:pPr>
        <w:pStyle w:val="Heading2"/>
      </w:pPr>
      <w:r>
        <w:t xml:space="preserve">5.6 Contributions</w:t>
      </w:r>
    </w:p>
    <w:p>
      <w:pPr>
        <w:pStyle w:val="FirstParagraph"/>
      </w:pPr>
      <w:ins w:id="10185" w:author="Z. Zukowski" w:date="2026-05-22T00:00:00Z">
        <w:r>
          <w:t xml:space="preserve">Taken together, the paper’s central contribution is to replace a common diligence shortcut. The standard practice reads decentralization off launch allocation tables and raw holder lists; this paper shows that practice measures the wrong object and puts a reproducible live-governance audit in its place: PCA-corrected holding HHI, insider-retention checks, voting-HHI comparison, and delegation-amplification measurement. The four empirical contributions populate that framework.</w:t>
        </w:r>
      </w:ins>
    </w:p>
    <w:p>
      <w:pPr>
        <w:pStyle w:val="BodyText"/>
      </w:pPr>
      <w:ins w:id="10186" w:author="Z. Zukowski" w:date="2026-05-22T00:00:00Z">
        <w:r>
          <w:rPr>
            <w:b/>
            <w:bCs/>
          </w:rPr>
          <w:t xml:space="preserve">First, generalizable PCA exclusion methodology</w:t>
        </w:r>
      </w:ins>
      <w:ins w:id="10186" w:author="Z. Zukowski" w:date="2026-05-22T00:00:00Z">
        <w:r>
          <w:t xml:space="preserve"> </w:t>
        </w:r>
      </w:ins>
      <w:ins w:id="10186" w:author="Z. Zukowski" w:date="2026-05-22T00:00:00Z">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ins>
    </w:p>
    <w:p>
      <w:pPr>
        <w:pStyle w:val="BodyText"/>
      </w:pPr>
      <w:ins w:id="10187" w:author="Z. Zukowski" w:date="2026-05-22T00:00:00Z">
        <w:r>
          <w:rPr>
            <w:b/>
            <w:bCs/>
          </w:rPr>
          <w:t xml:space="preserve">Second, allocation-null and insider-retention evidence</w:t>
        </w:r>
      </w:ins>
      <w:ins w:id="10187" w:author="Z. Zukowski" w:date="2026-05-22T00:00:00Z">
        <w:r>
          <w:t xml:space="preserve"> </w:t>
        </w:r>
      </w:ins>
      <w:ins w:id="10187" w:author="Z. Zukowski" w:date="2026-05-22T00:00:00Z">
        <w:r>
          <w:t xml:space="preserve">(Section 4.4). Initial team and investor allocation does not explain post-distribution concentration in the 50-protocol allocation battery,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88" w:author="Z. Zukowski" w:date="2026-05-22T00:00:00Z">
        <w:r>
          <w:rPr>
            <w:b/>
            <w:bCs/>
          </w:rPr>
          <w:t xml:space="preserve">Third, corrected sector contrast as a demonstration of the audit method</w:t>
        </w:r>
      </w:ins>
      <w:ins w:id="10188" w:author="Z. Zukowski" w:date="2026-05-22T00:00:00Z">
        <w:r>
          <w:t xml:space="preserve"> </w:t>
        </w:r>
      </w:ins>
      <w:ins w:id="10188" w:author="Z. Zukowski" w:date="2026-05-22T00:00:00Z">
        <w:r>
          <w:t xml:space="preserve">(Section 4.3). DePIN governance concentration exceeds DeFi after PCA correction, with robustness to leave-one-out, permutation, and bootstrap checks. This contrast is a demonstration of the audit method applied to a cross-protocol cut, not the paper’s core contribution; the core contribution is the audit method together with the allocation-null and insider-retention contrast, and this sector result illustrates the kind of cross-protocol pattern that audit surfaces. The powered Model 4 (Section 4.4) addresses the Model 3 attenuation and small-sample concern, leaving the DePIN association unattenuated and significant on the covariate-complete sample.</w:t>
        </w:r>
      </w:ins>
    </w:p>
    <w:p>
      <w:pPr>
        <w:pStyle w:val="BodyText"/>
      </w:pPr>
      <w:ins w:id="10189" w:author="Z. Zukowski" w:date="2026-05-22T00:00:00Z">
        <w:r>
          <w:rPr>
            <w:b/>
            <w:bCs/>
          </w:rPr>
          <w:t xml:space="preserve">Fourth, delegation-amplification measurement</w:t>
        </w:r>
      </w:ins>
      <w:ins w:id="10189" w:author="Z. Zukowski" w:date="2026-05-22T00:00:00Z">
        <w:r>
          <w:t xml:space="preserve"> </w:t>
        </w:r>
      </w:ins>
      <w:ins w:id="10189" w:author="Z. Zukowski" w:date="2026-05-22T00:00:00Z">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ins>
    </w:p>
    <w:bookmarkEnd w:id="103"/>
    <w:bookmarkStart w:id="104" w:name="limitations"/>
    <w:p>
      <w:pPr>
        <w:pStyle w:val="Heading2"/>
      </w:pPr>
      <w:r>
        <w:t xml:space="preserve">5.7 Limitations</w:t>
      </w:r>
    </w:p>
    <w:p>
      <w:pPr>
        <w:pStyle w:val="FirstParagraph"/>
      </w:pPr>
      <w:ins w:id="10190" w:author="Z. Zukowski" w:date="2026-05-22T00:00:00Z">
        <w:r>
          <w:t xml:space="preserve">The boundaries of the evidence map onto the control surfaces the audit framework measures, and onto the surfaces it does not yet reach. We organize them as five scopes.</w:t>
        </w:r>
      </w:ins>
    </w:p>
    <w:p>
      <w:pPr>
        <w:pStyle w:val="BodyText"/>
      </w:pPr>
      <w:ins w:id="10191" w:author="Z. Zukowski" w:date="2026-05-22T00:00:00Z">
        <w:r>
          <w:rPr>
            <w:b/>
            <w:bCs/>
          </w:rPr>
          <w:t xml:space="preserve">Temporal scope.</w:t>
        </w:r>
      </w:ins>
      <w:ins w:id="10191" w:author="Z. Zukowski" w:date="2026-05-22T00:00:00Z">
        <w:r>
          <w:t xml:space="preserve"> </w:t>
        </w:r>
      </w:ins>
      <w:ins w:id="10191" w:author="Z. Zukowski" w:date="2026-05-22T00:00:00Z">
        <w:r>
          <w:t xml:space="preserve">The analysis is a single March 2026 cross-section, so it supports descriptive association rather than causal inference or trajectory claims. Two provisional panels bound this: a 14-protocol quarterly panel (Supplementary File S7; 11 of 14 protocols monotonic-decay) and a 14-protocol Q1/Q8 trajectory analysis (Supplementary File S23; 85.7 percent monotonic-decay), both consistent with the cross-sectional allocation null (Section 4.4),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The chain-architecture trajectory decomposition (Section 4.3.1) is held at the descriptive layer by two confounds of the same temporal kind.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w:t>
        </w:r>
      </w:ins>
    </w:p>
    <w:p>
      <w:pPr>
        <w:pStyle w:val="BodyText"/>
      </w:pPr>
      <w:ins w:id="10192" w:author="Z. Zukowski" w:date="2026-05-22T00:00:00Z">
        <w:r>
          <w:rPr>
            <w:b/>
            <w:bCs/>
          </w:rPr>
          <w:t xml:space="preserve">Measurement scope.</w:t>
        </w:r>
      </w:ins>
      <w:ins w:id="10192" w:author="Z. Zukowski" w:date="2026-05-22T00:00:00Z">
        <w:r>
          <w:t xml:space="preserve"> </w:t>
        </w:r>
      </w:ins>
      <w:ins w:id="10192" w:author="Z. Zukowski" w:date="2026-05-22T00:00:00Z">
        <w:r>
          <w:t xml:space="preserve">Holding HHI and voting HHI are necessary but not sufficient measures of governance control. Informal influence, off-chain coordination, proposal-specific quorum rules, formal legal and contractual control rights, and identity splitting across nominally distinct addresses are not fully captured by either instrument, so the reported figures bound de facto control from one direction rather than measuring it exhaustively. Coverage of the operator-attribution layer is also asymmetric across chain architectures: Etherscan and Nansen labels yield roughly 95 percent high-share holder attribution on EVM protocols, Helius DAS and the Sim API yield roughly 80 percent on Solana protocols, and Substrate NPoS protocols (Polkadot; sister substrate-native L1 plus 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EVM and Solana CEX-overlap findings use near-complete-coverage attribution data and carry no such qualification. Finally, the three Solana voting-concentration figures reported in Section 4.5.4 (DRIFT, HNT, JUP) are sourced from Solana on-chain governance, a surface not covered by the Snapshot-or-Tally full-history robustness pool (Table 6b), so they carry no same-surface full-history comparison and are reported as point-in-time values rather than current state; the Helium figure in particular predates the HIP-141 governance redesign, after which turnout collapsed from the 200-to-1,024-voter range to 5-to-10 voters and per-proposal HHI rose for mechanical low-turnout reasons rather than genuine concentration drift (Section 4.5.4.2).</w:t>
        </w:r>
      </w:ins>
    </w:p>
    <w:p>
      <w:pPr>
        <w:pStyle w:val="BodyText"/>
      </w:pPr>
      <w:ins w:id="10193" w:author="Z. Zukowski" w:date="2026-05-22T00:00:00Z">
        <w:r>
          <w:rPr>
            <w:b/>
            <w:bCs/>
          </w:rPr>
          <w:t xml:space="preserve">Classification scope.</w:t>
        </w:r>
      </w:ins>
      <w:ins w:id="10193" w:author="Z. Zukowski" w:date="2026-05-22T00:00:00Z">
        <w:r>
          <w:t xml:space="preserve"> </w:t>
        </w:r>
      </w:ins>
      <w:ins w:id="10193" w:author="Z. Zukowski" w:date="2026-05-22T00:00:00Z">
        <w:r>
          <w:t xml:space="preserve">The audit rests on four researcher-judgment classification layers: the five-class protocol-controlled-address exclusion typology, the behavioral-signature exchange-custody attribution, the insider classification of record, and the sector assignment itself. The sector assignment at the DePIN, DeFi, and infrastructure layer-1 boundary is the most visible of these, most consequentially for Bittensor (classed here as an infrastructure layer-1 rather than DePIN) and Filecoin (classed as DePIN), where aggregators differ (Section 3.1). These layers were coded by a single research team and are not accompanied by a formal second-coder inter-rater-reliability (Cohen’s kappa) statistic. We bound the key choices rather than leave them to unaided judgment: external entity-label grounding (Nansen Address Labels, Etherscan, and Blockscout) replaces unaided coding; the leave-one-out and permutation checks (Section 4.6) perturb sample membership and label assignment under a fixed taxonomy; and two published sensitivity sweeps bound the two classification choices most consequential for the headline, the five-specification protocol-controlled-address strictness robustness and the six-scheme insider-classification robustness. These checks perturb membership and labels under a fixed taxonomy; they do not perturb the taxonomy itself, so a reviewer reclassifying borderline protocols should expect the effect size, not the direction, to move. Independent reproduction of the classification pipeline by a second team remains the direct test these internal checks cannot substitute for, and is specified in Section 5.8.</w:t>
        </w:r>
      </w:ins>
    </w:p>
    <w:p>
      <w:pPr>
        <w:pStyle w:val="BodyText"/>
      </w:pPr>
      <w:ins w:id="10194" w:author="Z. Zukowski" w:date="2026-05-22T00:00:00Z">
        <w:r>
          <w:rPr>
            <w:b/>
            <w:bCs/>
          </w:rPr>
          <w:t xml:space="preserve">Sample scope.</w:t>
        </w:r>
      </w:ins>
      <w:ins w:id="10194" w:author="Z. Zukowski" w:date="2026-05-22T00:00:00Z">
        <w:r>
          <w:t xml:space="preserve"> </w:t>
        </w:r>
      </w:ins>
      <w:ins w:id="10194" w:author="Z. Zukowski" w:date="2026-05-22T00:00:00Z">
        <w:r>
          <w:t xml:space="preserve">Established, data-rich protocols are overrepresented.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 Sample size also bounds the multivariate evidence: the published Models 1 through 3 carry 35 to 38 observations, the small-sample regime that limits how cleanly independent effects can be isolated from correlated controls, and the attenuated Model 3 sector coefficient (p = 0.078) should be read alongside the bootstrap interval reported in Section 4.4, which remains above zero [+0.001, +0.091] in the N = 35 sample. The covariate-complete powered specification (Model 4, Section 4.4) relaxes this substantially, spanning 50 governance-token protocols including the six most recently added (Frax, Synthetix, Gnosis, Algorand, Polkadot, Bittensor) at 12.5 observations per predictor, with the collinear insider-allocation control replaced by revenue intensity and maturity; on that sample the DePIN coefficient is unattenuated and significant (log HHI, p = 0.0107).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One secondary association is sample-fragile in a sharper sense: excluding Livepeer alone turns the subsidy-concentration result into a clean null (full leave-one-out, Spearman, and log-transform robustness in Section 4.6), so the main text treats subsidy as a single-observation-driven, non-generalizing association rather than a stable indicator.</w:t>
        </w:r>
      </w:ins>
    </w:p>
    <w:p>
      <w:pPr>
        <w:pStyle w:val="BodyText"/>
      </w:pPr>
      <w:ins w:id="10195" w:author="Z. Zukowski" w:date="2026-05-22T00:00:00Z">
        <w:r>
          <w:rPr>
            <w:b/>
            <w:bCs/>
          </w:rPr>
          <w:t xml:space="preserve">Sector-contrast scope.</w:t>
        </w:r>
      </w:ins>
      <w:ins w:id="10195" w:author="Z. Zukowski" w:date="2026-05-22T00:00:00Z">
        <w:r>
          <w:t xml:space="preserve"> </w:t>
        </w:r>
      </w:ins>
      <w:ins w:id="10195" w:author="Z. Zukowski" w:date="2026-05-22T00:00:00Z">
        <w:r>
          <w:t xml:space="preserve">The direction of the headline sector contrast, DePIN central tendency exceeding DeFi, is robust across every exclusion specification; its magnitude and significance depend on the staking treatment and on the classification choices above.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(Section 4.6.2).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ins>
    </w:p>
    <w:p>
      <w:pPr>
        <w:pStyle w:val="BodyText"/>
      </w:pPr>
      <w:ins w:id="10196" w:author="Z. Zukowski" w:date="2026-05-22T00:00:00Z">
        <w:r>
          <w:t xml:space="preserve">These limitations are not exceptions to the audit framework; they identify the next control surfaces the framework should measure: time, identity, classification reliability, and cross-protocol coordination. Section 5.8 organizes those surfaces into a forward research program.</w:t>
        </w:r>
      </w:ins>
    </w:p>
    <w:bookmarkEnd w:id="104"/>
    <w:bookmarkStart w:id="108" w:name="future-research"/>
    <w:p>
      <w:pPr>
        <w:pStyle w:val="Heading2"/>
      </w:pPr>
      <w:r>
        <w:t xml:space="preserve">5.8 Future Research</w:t>
      </w:r>
    </w:p>
    <w:p>
      <w:pPr>
        <w:pStyle w:val="FirstParagraph"/>
      </w:pPr>
      <w:ins w:id="10197" w:author="Z. Zukowski" w:date="2026-05-22T00:00:00Z">
        <w:r>
          <w:t xml:space="preserve">The forward agenda groups into three workstreams, each extending the audit framework to a control surface the present cross-section measures only partially.</w:t>
        </w:r>
      </w:ins>
    </w:p>
    <w:p>
      <w:pPr>
        <w:pStyle w:val="BodyText"/>
      </w:pPr>
      <w:ins w:id="10198" w:author="Z. Zukowski" w:date="2026-05-22T00:00:00Z">
        <w:r>
          <w:rPr>
            <w:b/>
            <w:bCs/>
          </w:rPr>
          <w:t xml:space="preserve">Temporal validation.</w:t>
        </w:r>
      </w:ins>
      <w:ins w:id="10198" w:author="Z. Zukowski" w:date="2026-05-22T00:00:00Z">
        <w:r>
          <w:t xml:space="preserve"> </w:t>
        </w:r>
      </w:ins>
      <w:ins w:id="10198" w:author="Z. Zukowski" w:date="2026-05-22T00:00:00Z">
        <w:r>
          <w:t xml:space="preserve">Converting the cross-section into a panel is the first workstream. Monthly snapshots of HHI and Gini across the full 52-protocol sample would turn the current cross-section into a panel dataset, enabling analysis of deconcentration trajectories and event studies around specific reform events: delegation program launches, vesting cliff expirations, and governance redesigns. The provisional panels already reported point the way: an initial 14-protocol quarterly panel (</w:t>
        </w:r>
      </w:ins>
      <w:hyperlink r:id="rId105">
        <w:ins w:id="10198" w:author="Z. Zukowski" w:date="2026-05-22T00:00:00Z">
          <w:r>
            <w:rPr>
              <w:rStyle w:val="Hyperlink"/>
            </w:rPr>
            <w:t xml:space="preserve">Supplementary File S7</w:t>
          </w:r>
        </w:ins>
      </w:hyperlink>
      <w:ins w:id="10198" w:author="Z. Zukowski" w:date="2026-05-22T00:00:00Z">
        <w:r>
          <w:t xml:space="preserve">) documents that 11 of 14 protocols exhibit monotonic governance HHI decay over 24 months post-token-generation event, with vote-escrow CRV, reservoir-drip COMP, and claim-window ENS as exceptions, and a 14-protocol Q1/Q8 trajectory analysis (</w:t>
        </w:r>
      </w:ins>
      <w:hyperlink r:id="rId106">
        <w:ins w:id="10198" w:author="Z. Zukowski" w:date="2026-05-22T00:00:00Z">
          <w:r>
            <w:rPr>
              <w:rStyle w:val="Hyperlink"/>
            </w:rPr>
            <w:t xml:space="preserve">Supplementary File S23</w:t>
          </w:r>
        </w:ins>
      </w:hyperlink>
      <w:ins w:id="10198" w:author="Z. Zukowski" w:date="2026-05-22T00:00:00Z">
        <w:r>
          <w:t xml:space="preserve">) returns 85.7 percent monotonic-decay; both are consistent with the cross-sectional allocation null reported in Section 4.4. Full 52-protocol monthly extraction is the natural extension. The same workstream widens the multivariate evidence: Model 4 already spans the N = 50 covariate-complete sample, including the six most recently added (Frax, Synthetix, Gnosis, Algorand, Polkadot, Bittensor), and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99" w:author="Z. Zukowski" w:date="2026-05-22T00:00:00Z">
        <w:r>
          <w:rPr>
            <w:b/>
            <w:bCs/>
          </w:rPr>
          <w:t xml:space="preserve">Audit reproducibility.</w:t>
        </w:r>
      </w:ins>
      <w:ins w:id="10199" w:author="Z. Zukowski" w:date="2026-05-22T00:00:00Z">
        <w:r>
          <w:t xml:space="preserve"> </w:t>
        </w:r>
      </w:ins>
      <w:ins w:id="10199" w:author="Z. Zukowski" w:date="2026-05-22T00:00:00Z">
        <w:r>
          <w:t xml:space="preserve">The second workstream tests whether the audit framework generalizes beyond this lab. Because the framework depends on several researcher-judgment classification layers (the five-class protocol-controlled-address exclusion, behavioral-signature exchange-custody attribution, sector assignment, and the insider classification of record), three reproducibility tasks follow. First, a second-coder inter-rater-reliability statistic (Cohen’s kappa) on the classification layers would quantify the coding reliability the present single-team coding does not report. Second,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 Third, independent reproduction of the headline contrast by an outside team working from the public replication package (Section 5.9, Supplementary File S5) is the direct test of whether the pipeline generalizes, the test the paper’s internal robustness checks cannot substitute for.</w:t>
        </w:r>
      </w:ins>
    </w:p>
    <w:p>
      <w:pPr>
        <w:pStyle w:val="BodyText"/>
      </w:pPr>
      <w:ins w:id="10200" w:author="Z. Zukowski" w:date="2026-05-22T00:00:00Z">
        <w:r>
          <w:rPr>
            <w:b/>
            <w:bCs/>
          </w:rPr>
          <w:t xml:space="preserve">Expanded concentration surfaces.</w:t>
        </w:r>
      </w:ins>
      <w:ins w:id="10200" w:author="Z. Zukowski" w:date="2026-05-22T00:00:00Z">
        <w:r>
          <w:t xml:space="preserve"> </w:t>
        </w:r>
      </w:ins>
      <w:ins w:id="10200" w:author="Z. Zukowski" w:date="2026-05-22T00:00:00Z">
        <w:r>
          <w:t xml:space="preserve">The third workstream extends measurement to concentration surfaces the present cross-section samples only at the edges. Cross-protocol delegate overlap, previewed in Section 4.5.5 and documented in full in Supplementary File S25 across Snapshot, Tally, and Polkadot validator-set surfaces, extends naturally to Solana governance surfaces (Realms, SPL Governance) and to off-Snapshot off-Tally surfaces (governance forums and off-chain coordination mechanisms). Operator-infrastructure concentration is a candidate sixth concentration axis: the Polkadot operator-attribution audit (Section 4.5.5; Supplementary Files S25 and S19) surfaces an axis specific to validator-network infrastructure, the cloud-provider, colocation, and self-hosted classification of the underlying compute substrate, computable from external sources (Polkawatch records include LastRegion, LastCountry, LastNetwork, Nominators, and TokenRewards fields). Validator-infrastructure HHI at the ISP tier (Hetzner Online GmbH versus AWS versus DigitalOcean versus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 A further extension operates beneath the address layer rather than across protocols: cross-wallet identity resolution, clustering nominally distinct addresses to common controlling entities, would tighten every post-exclusion concentration estimate by collapsing the identity-split holdings flagged in Section 5.7 into single owners, extending the behavioral-signature attribution already used for exchange custody to the Sybil-splitting case.</w:t>
        </w:r>
      </w:ins>
    </w:p>
    <w:p>
      <w:pPr>
        <w:pStyle w:val="BodyText"/>
      </w:pPr>
      <w:ins w:id="10201" w:author="Z. Zukowski" w:date="2026-05-22T00:00:00Z">
        <w:r>
          <w:t xml:space="preserve">Across the three workstreams, the forward empirical agenda is to convert the current cross-section into panel evidence and complete the covariate-complete sample across the 52-protocol cross-section; to bound the headline through a pre-registered sector-reclassification sensitivity analysis, add a second-coder reliability statistic, and invite independent reproduction from the public replication package; and to extend cross-protocol delegate overlap to Solana governance surfaces, evaluate operator-infrastructure as a candidate sixth concentration axis, and resolve cross-wallet identity beneath the address layer. Recent game-theoretic results (Kiayias et al., 2025) show Shapley-based reward distributions achieve bounded Price of Stability (4/3) in oceanic staking models while resisting Sybil stake-splitting attacks, supporting the measurement extensions’ theoretical grounding.</w:t>
        </w:r>
      </w:ins>
    </w:p>
    <w:p>
      <w:pPr>
        <w:pStyle w:val="BodyText"/>
      </w:pPr>
      <w:ins w:id="10202" w:author="Z. Zukowski" w:date="2026-05-22T00:00:00Z">
        <w:r>
          <w:t xml:space="preserve">Falsifiable forward claims. The cross-sectional design supports five</w:t>
        </w:r>
      </w:ins>
      <w:ins w:id="10202" w:author="Z. Zukowski" w:date="2026-05-22T00:00:00Z">
        <w:r>
          <w:t xml:space="preserve"> </w:t>
        </w:r>
      </w:ins>
      <w:ins w:id="10202" w:author="Z. Zukowski" w:date="2026-05-22T00:00:00Z">
        <w:r>
          <w:t xml:space="preserve">falsifiable predictions about subsequent cross-protocol governance</w:t>
        </w:r>
      </w:ins>
      <w:ins w:id="10202" w:author="Z. Zukowski" w:date="2026-05-22T00:00:00Z">
        <w:r>
          <w:t xml:space="preserve"> </w:t>
        </w:r>
      </w:ins>
      <w:ins w:id="10202" w:author="Z. Zukowski" w:date="2026-05-22T00:00:00Z">
        <w:r>
          <w:t xml:space="preserve">trajectories, each operationalized for future panel-data and event-study</w:t>
        </w:r>
      </w:ins>
      <w:ins w:id="10202" w:author="Z. Zukowski" w:date="2026-05-22T00:00:00Z">
        <w:r>
          <w:t xml:space="preserve"> </w:t>
        </w:r>
      </w:ins>
      <w:ins w:id="10202" w:author="Z. Zukowski" w:date="2026-05-22T00:00:00Z">
        <w:r>
          <w:t xml:space="preserve">work:</w:t>
        </w:r>
      </w:ins>
    </w:p>
    <w:p>
      <w:pPr>
        <w:pStyle w:val="Compact"/>
        <w:numPr>
          <w:ilvl w:val="0"/>
          <w:numId w:val="1002"/>
        </w:numPr>
      </w:pPr>
      <w:ins w:id="10203" w:author="Z. Zukowski" w:date="2026-05-22T00:00:00Z">
        <w:r>
          <w:rPr>
            <w:b/>
            <w:bCs/>
          </w:rPr>
          <w:t xml:space="preserve">Sector persistence</w:t>
        </w:r>
      </w:ins>
      <w:ins w:id="10203"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204" w:author="Z. Zukowski" w:date="2026-05-22T00:00:00Z">
        <w:r>
          <w:rPr>
            <w:b/>
            <w:bCs/>
          </w:rPr>
          <w:t xml:space="preserve">Delegation amplification universality</w:t>
        </w:r>
      </w:ins>
      <w:ins w:id="10204"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205" w:author="Z. Zukowski" w:date="2026-05-22T00:00:00Z">
        <w:r>
          <w:rPr>
            <w:b/>
            <w:bCs/>
          </w:rPr>
          <w:t xml:space="preserve">Insider-retention persistence</w:t>
        </w:r>
      </w:ins>
      <w:ins w:id="10205"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206" w:author="Z. Zukowski" w:date="2026-05-22T00:00:00Z">
        <w:r>
          <w:rPr>
            <w:b/>
            <w:bCs/>
          </w:rPr>
          <w:t xml:space="preserve">Delegate-program design as moderator</w:t>
        </w:r>
      </w:ins>
      <w:ins w:id="10206"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207" w:author="Z. Zukowski" w:date="2026-05-22T00:00:00Z">
        <w:r>
          <w:rPr>
            <w:b/>
            <w:bCs/>
          </w:rPr>
          <w:t xml:space="preserve">Chain-architecture as trajectory moderator</w:t>
        </w:r>
      </w:ins>
      <w:ins w:id="10207"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208" w:author="Z. Zukowski" w:date="2026-05-22T00:00:00Z">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208" w:author="Z. Zukowski" w:date="2026-05-22T00:00:00Z">
        <w:r>
          <w:t xml:space="preserve"> </w:t>
        </w:r>
      </w:ins>
      <w:hyperlink r:id="rId107">
        <w:ins w:id="10208" w:author="Z. Zukowski" w:date="2026-05-22T00:00:00Z">
          <w:r>
            <w:rPr>
              <w:rStyle w:val="Hyperlink"/>
            </w:rPr>
            <w:t xml:space="preserve">Supplementary File S17</w:t>
          </w:r>
        </w:ins>
      </w:hyperlink>
      <w:ins w:id="10208" w:author="Z. Zukowski" w:date="2026-05-22T00:00:00Z">
        <w:r>
          <w:t xml:space="preserve">.</w:t>
        </w:r>
      </w:ins>
    </w:p>
    <w:bookmarkEnd w:id="108"/>
    <w:bookmarkStart w:id="109" w:name="reproducibility-and-data-availability"/>
    <w:p>
      <w:pPr>
        <w:pStyle w:val="Heading2"/>
      </w:pPr>
      <w:r>
        <w:t xml:space="preserve">5.9 Reproducibility and Data Availability</w:t>
      </w:r>
    </w:p>
    <w:p>
      <w:pPr>
        <w:pStyle w:val="FirstParagraph"/>
      </w:pPr>
      <w:ins w:id="10209" w:author="Z. Zukowski" w:date="2026-05-22T00:00:00Z">
        <w:r>
          <w:t xml:space="preserve">The 52-protocol governance concentration dataset, exclusions log (133</w:t>
        </w:r>
      </w:ins>
      <w:ins w:id="10209" w:author="Z. Zukowski" w:date="2026-05-22T00:00:00Z">
        <w:r>
          <w:t xml:space="preserve"> </w:t>
        </w:r>
      </w:ins>
      <w:ins w:id="10209" w:author="Z. Zukowski" w:date="2026-05-22T00:00:00Z">
        <w:r>
          <w:t xml:space="preserve">protocol-controlled address exclusions across 38 protocols), canonical</w:t>
        </w:r>
      </w:ins>
      <w:ins w:id="10209" w:author="Z. Zukowski" w:date="2026-05-22T00:00:00Z">
        <w:r>
          <w:t xml:space="preserve"> </w:t>
        </w:r>
      </w:ins>
      <w:ins w:id="10209" w:author="Z. Zukowski" w:date="2026-05-22T00:00:00Z">
        <w:r>
          <w:t xml:space="preserve">regression dataset including Token Terminal subsidy ratios and on-chain</w:t>
        </w:r>
      </w:ins>
      <w:ins w:id="10209" w:author="Z. Zukowski" w:date="2026-05-22T00:00:00Z">
        <w:r>
          <w:t xml:space="preserve"> </w:t>
        </w:r>
      </w:ins>
      <w:ins w:id="10209" w:author="Z. Zukowski" w:date="2026-05-22T00:00:00Z">
        <w:r>
          <w:t xml:space="preserve">financial data, Hivemapper / io.net / Aethir holder distributions used</w:t>
        </w:r>
      </w:ins>
      <w:ins w:id="10209" w:author="Z. Zukowski" w:date="2026-05-22T00:00:00Z">
        <w:r>
          <w:t xml:space="preserve"> </w:t>
        </w:r>
      </w:ins>
      <w:ins w:id="10209" w:author="Z. Zukowski" w:date="2026-05-22T00:00:00Z">
        <w:r>
          <w:t xml:space="preserve">for Table 3, veCRV cumulative deposit data underlying the Section 4.5.2</w:t>
        </w:r>
      </w:ins>
      <w:ins w:id="10209" w:author="Z. Zukowski" w:date="2026-05-22T00:00:00Z">
        <w:r>
          <w:t xml:space="preserve"> </w:t>
        </w:r>
      </w:ins>
      <w:ins w:id="10209" w:author="Z. Zukowski" w:date="2026-05-22T00:00:00Z">
        <w:r>
          <w:t xml:space="preserve">ve-locking analysis, and Theil/Atkinson supplementary metrics used in</w:t>
        </w:r>
      </w:ins>
      <w:ins w:id="10209" w:author="Z. Zukowski" w:date="2026-05-22T00:00:00Z">
        <w:r>
          <w:t xml:space="preserve"> </w:t>
        </w:r>
      </w:ins>
      <w:ins w:id="10209" w:author="Z. Zukowski" w:date="2026-05-22T00:00:00Z">
        <w:r>
          <w:t xml:space="preserve">the Section 4.6 robustness check are available in the replication</w:t>
        </w:r>
      </w:ins>
      <w:ins w:id="10209" w:author="Z. Zukowski" w:date="2026-05-22T00:00:00Z">
        <w:r>
          <w:t xml:space="preserve"> </w:t>
        </w:r>
      </w:ins>
      <w:ins w:id="10209" w:author="Z. Zukowski" w:date="2026-05-22T00:00:00Z">
        <w:r>
          <w:t xml:space="preserve">repository linked in the supplementary materials. Replication scripts</w:t>
        </w:r>
      </w:ins>
      <w:ins w:id="10209" w:author="Z. Zukowski" w:date="2026-05-22T00:00:00Z">
        <w:r>
          <w:t xml:space="preserve"> </w:t>
        </w:r>
      </w:ins>
      <w:ins w:id="10209" w:author="Z. Zukowski" w:date="2026-05-22T00:00:00Z">
        <w:r>
          <w:t xml:space="preserve">for each table and figure are provided in Supplementary File S5; the</w:t>
        </w:r>
      </w:ins>
      <w:ins w:id="10209" w:author="Z. Zukowski" w:date="2026-05-22T00:00:00Z">
        <w:r>
          <w:t xml:space="preserve"> </w:t>
        </w:r>
      </w:ins>
      <w:ins w:id="10209" w:author="Z. Zukowski" w:date="2026-05-22T00:00:00Z">
        <w:r>
          <w:t xml:space="preserve">cross-protocol Pearson and Spearman correlations reported across</w:t>
        </w:r>
      </w:ins>
      <w:ins w:id="10209" w:author="Z. Zukowski" w:date="2026-05-22T00:00:00Z">
        <w:r>
          <w:t xml:space="preserve"> </w:t>
        </w:r>
      </w:ins>
      <w:ins w:id="10209" w:author="Z. Zukowski" w:date="2026-05-22T00:00:00Z">
        <w:r>
          <w:t xml:space="preserve">Sections 4.3, 4.4, and 4.6 can be reproduced via the replication scripts</w:t>
        </w:r>
      </w:ins>
      <w:ins w:id="10209" w:author="Z. Zukowski" w:date="2026-05-22T00:00:00Z">
        <w:r>
          <w:t xml:space="preserve"> </w:t>
        </w:r>
      </w:ins>
      <w:ins w:id="10209" w:author="Z. Zukowski" w:date="2026-05-22T00:00:00Z">
        <w:r>
          <w:t xml:space="preserve">using only the linked public-source data. The exclusion methodology is</w:t>
        </w:r>
      </w:ins>
      <w:ins w:id="10209" w:author="Z. Zukowski" w:date="2026-05-22T00:00:00Z">
        <w:r>
          <w:t xml:space="preserve"> </w:t>
        </w:r>
      </w:ins>
      <w:ins w:id="10209" w:author="Z. Zukowski" w:date="2026-05-22T00:00:00Z">
        <w:r>
          <w:t xml:space="preserve">documented at the address-by-address granularity in the exclusions log</w:t>
        </w:r>
      </w:ins>
      <w:ins w:id="10209" w:author="Z. Zukowski" w:date="2026-05-22T00:00:00Z">
        <w:r>
          <w:t xml:space="preserve"> </w:t>
        </w:r>
      </w:ins>
      <w:ins w:id="10209" w:author="Z. Zukowski" w:date="2026-05-22T00:00:00Z">
        <w:r>
          <w:t xml:space="preserve">(</w:t>
        </w:r>
      </w:ins>
      <w:ins w:id="10209" w:author="Z. Zukowski" w:date="2026-05-22T00:00:00Z">
        <w:r>
          <w:rPr>
            <w:rStyle w:val="VerbatimChar"/>
          </w:rPr>
          <w:t xml:space="preserve">data/processed/exclusions_log.csv</w:t>
        </w:r>
      </w:ins>
      <w:ins w:id="10209" w:author="Z. Zukowski" w:date="2026-05-22T00:00:00Z">
        <w:r>
          <w:t xml:space="preserve">).</w:t>
        </w:r>
      </w:ins>
    </w:p>
    <w:p>
      <w:pPr>
        <w:pStyle w:val="BodyText"/>
      </w:pPr>
      <w:ins w:id="10210"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9"/>
    <w:bookmarkEnd w:id="110"/>
    <w:bookmarkStart w:id="111" w:name="conclusion"/>
    <w:p>
      <w:pPr>
        <w:pStyle w:val="Heading1"/>
      </w:pPr>
      <w:r>
        <w:t xml:space="preserve">6 Conclusion</w:t>
      </w:r>
    </w:p>
    <w:p>
      <w:pPr>
        <w:pStyle w:val="FirstParagraph"/>
      </w:pPr>
      <w:ins w:id="10211"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0.09, p = 0.55,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ins>
    </w:p>
    <w:p>
      <w:pPr>
        <w:pStyle w:val="BodyText"/>
      </w:pPr>
      <w:ins w:id="10212" w:author="Z. Zukowski" w:date="2026-05-22T00:00:00Z">
        <w:r>
          <w:t xml:space="preserve">A decentralization claim is not supported by launch allocation or raw holder lists; it requires a live-governance audit of PCA-corrected holdings, insider retention, and voting power. For practitioners and researchers, that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ins>
    </w:p>
    <w:p>
      <w:pPr>
        <w:pStyle w:val="BodyText"/>
      </w:pPr>
      <w:ins w:id="10213" w:author="Z. Zukowski" w:date="2026-05-22T00:00:00Z">
        <w:r>
          <w:t xml:space="preserve">These results come from a single March 2026 cross-section, and the associations reported here are descriptive rather than causal. The paper treats that boundary as a design choice rather than a defect: it converts a descriptive cross-section into a pre-registered panel agenda, specifying forward predictions with explicit falsification thresholds and committing to deposit their hypotheses, tests, and thresholds on the Open Science Framework before any panel or event-study extension. The single-snapshot, association-only limits are therefore the entry conditions of a research program, not a weakness of the present finding. That program inherits the operational audit standard the introduction sets out.</w:t>
        </w:r>
      </w:ins>
    </w:p>
    <w:p>
      <w:pPr>
        <w:pStyle w:val="BodyText"/>
      </w:pPr>
      <w:ins w:id="10214"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ins>
    </w:p>
    <w:bookmarkEnd w:id="111"/>
    <w:bookmarkStart w:id="112"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215" w:author="Z. Zukowski" w:date="2026-05-22T00:00:00Z">
        <w:r>
          <w:t xml:space="preserve">S0: Canonical statistics ledger for every B2 main-text statistic.</w:t>
        </w:r>
      </w:ins>
    </w:p>
    <w:p>
      <w:pPr>
        <w:pStyle w:val="BodyText"/>
      </w:pPr>
      <w:ins w:id="10216" w:author="Z. Zukowski" w:date="2026-05-22T00:00:00Z">
        <w:r>
          <w:t xml:space="preserve">S1: Metric definitions for holder concentration, voting concentration,</w:t>
        </w:r>
      </w:ins>
      <w:ins w:id="10216" w:author="Z. Zukowski" w:date="2026-05-22T00:00:00Z">
        <w:r>
          <w:t xml:space="preserve"> </w:t>
        </w:r>
      </w:ins>
      <w:ins w:id="10216" w:author="Z. Zukowski" w:date="2026-05-22T00:00:00Z">
        <w:r>
          <w:t xml:space="preserve">subsidy ratios, and related variables.</w:t>
        </w:r>
      </w:ins>
    </w:p>
    <w:p>
      <w:pPr>
        <w:pStyle w:val="BodyText"/>
      </w:pPr>
      <w:ins w:id="10217" w:author="Z. Zukowski" w:date="2026-05-22T00:00:00Z">
        <w:r>
          <w:t xml:space="preserve">S2: Protocol codebook and optional governance-scoring templates retained</w:t>
        </w:r>
      </w:ins>
      <w:ins w:id="10217" w:author="Z. Zukowski" w:date="2026-05-22T00:00:00Z">
        <w:r>
          <w:t xml:space="preserve"> </w:t>
        </w:r>
      </w:ins>
      <w:ins w:id="10217" w:author="Z. Zukowski" w:date="2026-05-22T00:00:00Z">
        <w:r>
          <w:t xml:space="preserve">for researchers extending the broader project. Not load-bearing for B2.</w:t>
        </w:r>
      </w:ins>
    </w:p>
    <w:p>
      <w:pPr>
        <w:pStyle w:val="BodyText"/>
      </w:pPr>
      <w:ins w:id="10218" w:author="Z. Zukowski" w:date="2026-05-22T00:00:00Z">
        <w:r>
          <w:t xml:space="preserve">S3: Optional governance-scoring tables retained as supplementary</w:t>
        </w:r>
      </w:ins>
      <w:ins w:id="10218" w:author="Z. Zukowski" w:date="2026-05-22T00:00:00Z">
        <w:r>
          <w:t xml:space="preserve"> </w:t>
        </w:r>
      </w:ins>
      <w:ins w:id="10218"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219" w:author="Z. Zukowski" w:date="2026-05-22T00:00:00Z">
        <w:r>
          <w:t xml:space="preserve">S6: Source provenance, revenue standardization, and raw holder-data</w:t>
        </w:r>
      </w:ins>
      <w:ins w:id="10219" w:author="Z. Zukowski" w:date="2026-05-22T00:00:00Z">
        <w:r>
          <w:t xml:space="preserve"> </w:t>
        </w:r>
      </w:ins>
      <w:ins w:id="10219"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220" w:author="Z. Zukowski" w:date="2026-05-22T00:00:00Z">
        <w:r>
          <w:t xml:space="preserve">S8: Expanded subsidy-concentration analysis combining Token Terminal</w:t>
        </w:r>
      </w:ins>
      <w:ins w:id="10220" w:author="Z. Zukowski" w:date="2026-05-22T00:00:00Z">
        <w:r>
          <w:t xml:space="preserve"> </w:t>
        </w:r>
      </w:ins>
      <w:ins w:id="10220" w:author="Z. Zukowski" w:date="2026-05-22T00:00:00Z">
        <w:r>
          <w:t xml:space="preserve">revenue data and on-chain emission or fee ratios.</w:t>
        </w:r>
      </w:ins>
    </w:p>
    <w:p>
      <w:pPr>
        <w:pStyle w:val="BodyText"/>
      </w:pPr>
      <w:ins w:id="10221" w:author="Z. Zukowski" w:date="2026-05-22T00:00:00Z">
        <w:r>
          <w:t xml:space="preserve">S9: Theil and Atkinson concentration-metric robustness analysis.</w:t>
        </w:r>
      </w:ins>
    </w:p>
    <w:p>
      <w:pPr>
        <w:pStyle w:val="BodyText"/>
      </w:pPr>
      <w:ins w:id="10222" w:author="Z. Zukowski" w:date="2026-05-22T00:00:00Z">
        <w:r>
          <w:t xml:space="preserve">S10: PCA classification robustness across Specs A through E.</w:t>
        </w:r>
      </w:ins>
    </w:p>
    <w:p>
      <w:pPr>
        <w:pStyle w:val="BodyText"/>
      </w:pPr>
      <w:ins w:id="10223" w:author="Z. Zukowski" w:date="2026-05-22T00:00:00Z">
        <w:r>
          <w:t xml:space="preserve">S11: Shapley-Shubik and Banzhaf power-index calculations.</w:t>
        </w:r>
      </w:ins>
    </w:p>
    <w:p>
      <w:pPr>
        <w:pStyle w:val="BodyText"/>
      </w:pPr>
      <w:ins w:id="10224" w:author="Z. Zukowski" w:date="2026-05-22T00:00:00Z">
        <w:r>
          <w:t xml:space="preserve">S12: PCA-symmetric voting-HHI and signer-side functional PCA robustness.</w:t>
        </w:r>
      </w:ins>
    </w:p>
    <w:p>
      <w:pPr>
        <w:pStyle w:val="BodyText"/>
      </w:pPr>
      <w:ins w:id="10225" w:author="Z. Zukowski" w:date="2026-05-22T00:00:00Z">
        <w:r>
          <w:t xml:space="preserve">S13: Solana PCA exclusion audit, including cross-protocol candidate-address verification via the Sim API.</w:t>
        </w:r>
      </w:ins>
    </w:p>
    <w:p>
      <w:pPr>
        <w:pStyle w:val="BodyText"/>
      </w:pPr>
      <w:ins w:id="10226" w:author="Z. Zukowski" w:date="2026-05-22T00:00:00Z">
        <w:r>
          <w:t xml:space="preserve">S14: Shapley-Shubik and Banzhaf power-index full closure across the N=16 cross-source voting-HHI sample (three-class amplification typology; quorum-sensitivity profile).</w:t>
        </w:r>
      </w:ins>
    </w:p>
    <w:p>
      <w:pPr>
        <w:pStyle w:val="BodyText"/>
      </w:pPr>
      <w:ins w:id="10227" w:author="Z. Zukowski" w:date="2026-05-22T00:00:00Z">
        <w:r>
          <w:t xml:space="preserve">S15: Voting-HHI extension across the N=52 cross-section (FXS, SNX, GNO, TAO, DOT additions).</w:t>
        </w:r>
      </w:ins>
    </w:p>
    <w:p>
      <w:pPr>
        <w:pStyle w:val="BodyText"/>
      </w:pPr>
      <w:ins w:id="10228" w:author="Z. Zukowski" w:date="2026-05-22T00:00:00Z">
        <w:r>
          <w:t xml:space="preserve">S16a: Aethir, IoTeX, and ENS sensitivity analyses.</w:t>
        </w:r>
      </w:ins>
    </w:p>
    <w:p>
      <w:pPr>
        <w:pStyle w:val="BodyText"/>
      </w:pPr>
      <w:ins w:id="10229" w:author="Z. Zukowski" w:date="2026-05-22T00:00:00Z">
        <w:r>
          <w:t xml:space="preserve">S16b: Sample-expansion batch (FXS, SNX, GNO, TAO; pre-exclusion holder-HHI baseline; 4 of 5 N=45 expansion protocols via Sim API EVM + TAOSTATS Substrate).</w:t>
        </w:r>
      </w:ins>
    </w:p>
    <w:p>
      <w:pPr>
        <w:pStyle w:val="BodyText"/>
      </w:pPr>
      <w:ins w:id="10230" w:author="Z. Zukowski" w:date="2026-05-22T00:00:00Z">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ins>
    </w:p>
    <w:p>
      <w:pPr>
        <w:pStyle w:val="BodyText"/>
      </w:pPr>
      <w:ins w:id="10231" w:author="Z. Zukowski" w:date="2026-05-22T00:00:00Z">
        <w:r>
          <w:t xml:space="preserve">S17: Falsifiable predictions and pre-registration specification.</w:t>
        </w:r>
      </w:ins>
    </w:p>
    <w:p>
      <w:pPr>
        <w:pStyle w:val="BodyText"/>
      </w:pPr>
      <w:ins w:id="10232"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233" w:author="Z. Zukowski" w:date="2026-05-22T00:00:00Z">
        <w:r>
          <w:t xml:space="preserve">S19: Polkadot validator-set five-axis attribution methodology (Subscan Identity Pallet + Polkawatch DDP API + Web3 Foundation TVP + L2 funding-source + display-name; 53 percent attribution coverage from a 16 percent on-chain baseline).</w:t>
        </w:r>
      </w:ins>
    </w:p>
    <w:p>
      <w:pPr>
        <w:pStyle w:val="BodyText"/>
      </w:pPr>
      <w:ins w:id="10234" w:author="Z. Zukowski" w:date="2026-05-22T00:00:00Z">
        <w:r>
          <w:t xml:space="preserve">S20: Polkadot Subscan refresh finding (methodology validation; empirical-instability case for unauthenticated Subscan endpoints).</w:t>
        </w:r>
      </w:ins>
    </w:p>
    <w:p>
      <w:pPr>
        <w:pStyle w:val="BodyText"/>
      </w:pPr>
      <w:ins w:id="10235"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236"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237" w:author="Z. Zukowski" w:date="2026-05-22T00:00:00Z">
        <w:r>
          <w:t xml:space="preserve">S23: Q1-to-Q8 governance-HHI trajectory analysis on the 14-protocol panel (85.7 percent monotonic decay; consistent with the cross-sectional findings).</w:t>
        </w:r>
      </w:ins>
    </w:p>
    <w:p>
      <w:pPr>
        <w:pStyle w:val="BodyText"/>
      </w:pPr>
      <w:ins w:id="10238" w:author="Z. Zukowski" w:date="2026-05-22T00:00:00Z">
        <w:r>
          <w:t xml:space="preserve">S24: Optimism worked example retained as a supplementary case.</w:t>
        </w:r>
      </w:ins>
    </w:p>
    <w:p>
      <w:pPr>
        <w:pStyle w:val="BodyText"/>
      </w:pPr>
      <w:ins w:id="10239"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12"/>
    <w:bookmarkStart w:id="113"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13"/>
    <w:bookmarkStart w:id="114"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40" w:author="Z. Zukowski" w:date="2026-05-22T00:00:00Z">
        <w:r>
          <w:t xml:space="preserve">Acemoglu, D., &amp; Robinson, J. A. (2008). Persistence of power, elites,</w:t>
        </w:r>
      </w:ins>
      <w:ins w:id="10240" w:author="Z. Zukowski" w:date="2026-05-22T00:00:00Z">
        <w:r>
          <w:t xml:space="preserve"> </w:t>
        </w:r>
      </w:ins>
      <w:ins w:id="10240" w:author="Z. Zukowski" w:date="2026-05-22T00:00:00Z">
        <w:r>
          <w:t xml:space="preserve">and institutions. American Economic Review, 98(1), 267-293.</w:t>
        </w:r>
      </w:ins>
      <w:ins w:id="10240" w:author="Z. Zukowski" w:date="2026-05-22T00:00:00Z">
        <w:r>
          <w:t xml:space="preserve"> </w:t>
        </w:r>
      </w:ins>
      <w:ins w:id="10240"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41" w:author="Z. Zukowski" w:date="2026-05-22T00:00:00Z">
        <w:r>
          <w:t xml:space="preserve">Atkinson, A. B. (1970). On the measurement of inequality. Journal of</w:t>
        </w:r>
      </w:ins>
      <w:ins w:id="10241" w:author="Z. Zukowski" w:date="2026-05-22T00:00:00Z">
        <w:r>
          <w:t xml:space="preserve"> </w:t>
        </w:r>
      </w:ins>
      <w:ins w:id="10241" w:author="Z. Zukowski" w:date="2026-05-22T00:00:00Z">
        <w:r>
          <w:t xml:space="preserve">Economic Theory, 2(3), 244-263.</w:t>
        </w:r>
      </w:ins>
      <w:ins w:id="10241" w:author="Z. Zukowski" w:date="2026-05-22T00:00:00Z">
        <w:r>
          <w:t xml:space="preserve"> </w:t>
        </w:r>
      </w:ins>
      <w:ins w:id="10241" w:author="Z. Zukowski" w:date="2026-05-22T00:00:00Z">
        <w:r>
          <w:t xml:space="preserve">https://doi.org/10.1016/0022-0531(70)90039-6</w:t>
        </w:r>
      </w:ins>
    </w:p>
    <w:p>
      <w:pPr>
        <w:pStyle w:val="BodyText"/>
      </w:pPr>
      <w:ins w:id="10242" w:author="Z. Zukowski" w:date="2026-05-22T00:00:00Z">
        <w:r>
          <w:t xml:space="preserve">Atzori, M. (2017). Blockchain technology and decentralized governance:</w:t>
        </w:r>
      </w:ins>
      <w:ins w:id="10242" w:author="Z. Zukowski" w:date="2026-05-22T00:00:00Z">
        <w:r>
          <w:t xml:space="preserve"> </w:t>
        </w:r>
      </w:ins>
      <w:ins w:id="10242" w:author="Z. Zukowski" w:date="2026-05-22T00:00:00Z">
        <w:r>
          <w:t xml:space="preserve">Is the state still necessary? Journal of Governance and Regulation,</w:t>
        </w:r>
      </w:ins>
      <w:ins w:id="10242" w:author="Z. Zukowski" w:date="2026-05-22T00:00:00Z">
        <w:r>
          <w:t xml:space="preserve"> </w:t>
        </w:r>
      </w:ins>
      <w:ins w:id="10242"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43" w:author="Z. Zukowski" w:date="2026-05-22T00:00:00Z">
        <w:r>
          <w:t xml:space="preserve">Banzhaf, J. F., III. (1968). One man, 3.312 votes: A mathematical</w:t>
        </w:r>
      </w:ins>
      <w:ins w:id="10243" w:author="Z. Zukowski" w:date="2026-05-22T00:00:00Z">
        <w:r>
          <w:t xml:space="preserve"> </w:t>
        </w:r>
      </w:ins>
      <w:ins w:id="10243" w:author="Z. Zukowski" w:date="2026-05-22T00:00:00Z">
        <w:r>
          <w:t xml:space="preserve">analysis of the Electoral College. Villanova Law Review, 13(2), 304-332.</w:t>
        </w:r>
      </w:ins>
    </w:p>
    <w:p>
      <w:pPr>
        <w:pStyle w:val="BodyText"/>
      </w:pPr>
      <w:ins w:id="10244" w:author="Z. Zukowski" w:date="2026-05-22T00:00:00Z">
        <w:r>
          <w:t xml:space="preserve">Berle, A. A., &amp; Means, G. C. (1932). The modern corporation and private</w:t>
        </w:r>
      </w:ins>
      <w:ins w:id="10244" w:author="Z. Zukowski" w:date="2026-05-22T00:00:00Z">
        <w:r>
          <w:t xml:space="preserve"> </w:t>
        </w:r>
      </w:ins>
      <w:ins w:id="10244"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45" w:author="Z. Zukowski" w:date="2026-05-22T00:00:00Z">
        <w:r>
          <w:t xml:space="preserve">Brennan, G., &amp; Buchanan, J. M. (1985). The reason of rules:</w:t>
        </w:r>
      </w:ins>
      <w:ins w:id="10245" w:author="Z. Zukowski" w:date="2026-05-22T00:00:00Z">
        <w:r>
          <w:t xml:space="preserve"> </w:t>
        </w:r>
      </w:ins>
      <w:ins w:id="10245"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46" w:author="Z. Zukowski" w:date="2026-05-22T00:00:00Z">
        <w:r>
          <w:t xml:space="preserve">Cohen, J. (1988). Statistical power analysis for the behavioral</w:t>
        </w:r>
      </w:ins>
      <w:ins w:id="10246" w:author="Z. Zukowski" w:date="2026-05-22T00:00:00Z">
        <w:r>
          <w:t xml:space="preserve"> </w:t>
        </w:r>
      </w:ins>
      <w:ins w:id="10246"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47" w:author="Z. Zukowski" w:date="2026-05-22T00:00:00Z">
        <w:r>
          <w:t xml:space="preserve">DuPont, Q. (2014). The politics of cryptography: Bitcoin and the</w:t>
        </w:r>
      </w:ins>
      <w:ins w:id="10247" w:author="Z. Zukowski" w:date="2026-05-22T00:00:00Z">
        <w:r>
          <w:t xml:space="preserve"> </w:t>
        </w:r>
      </w:ins>
      <w:ins w:id="10247"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48" w:author="Z. Zukowski" w:date="2026-05-22T00:00:00Z">
        <w:r>
          <w:t xml:space="preserve">Felsenthal, D. S., &amp; Machover, M. (1998). The measurement of voting</w:t>
        </w:r>
      </w:ins>
      <w:ins w:id="10248" w:author="Z. Zukowski" w:date="2026-05-22T00:00:00Z">
        <w:r>
          <w:t xml:space="preserve"> </w:t>
        </w:r>
      </w:ins>
      <w:ins w:id="10248"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49" w:author="Z. Zukowski" w:date="2026-05-22T00:00:00Z">
        <w:r>
          <w:t xml:space="preserve">Hardin, G. (1968). The tragedy of the commons. Science, 162(3859),</w:t>
        </w:r>
      </w:ins>
      <w:ins w:id="10249" w:author="Z. Zukowski" w:date="2026-05-22T00:00:00Z">
        <w:r>
          <w:t xml:space="preserve"> </w:t>
        </w:r>
      </w:ins>
      <w:ins w:id="10249" w:author="Z. Zukowski" w:date="2026-05-22T00:00:00Z">
        <w:r>
          <w:t xml:space="preserve">1243-1248. https://doi.org/10.1126/science.162.3859.1243</w:t>
        </w:r>
      </w:ins>
    </w:p>
    <w:p>
      <w:pPr>
        <w:pStyle w:val="BodyText"/>
      </w:pPr>
      <w:ins w:id="10250" w:author="Z. Zukowski" w:date="2026-05-22T00:00:00Z">
        <w:r>
          <w:t xml:space="preserve">Hirschman, A. O. (1964). The paternity of an index. American Economic</w:t>
        </w:r>
      </w:ins>
      <w:ins w:id="10250" w:author="Z. Zukowski" w:date="2026-05-22T00:00:00Z">
        <w:r>
          <w:t xml:space="preserve"> </w:t>
        </w:r>
      </w:ins>
      <w:ins w:id="10250" w:author="Z. Zukowski" w:date="2026-05-22T00:00:00Z">
        <w:r>
          <w:t xml:space="preserve">Review, 54(5), 761.</w:t>
        </w:r>
      </w:ins>
    </w:p>
    <w:p>
      <w:pPr>
        <w:pStyle w:val="BodyText"/>
      </w:pPr>
      <w:ins w:id="10251" w:author="Z. Zukowski" w:date="2026-05-22T00:00:00Z">
        <w:r>
          <w:t xml:space="preserve">Holmstrom, B. (1979). Moral hazard and observability. The Bell</w:t>
        </w:r>
      </w:ins>
      <w:ins w:id="10251" w:author="Z. Zukowski" w:date="2026-05-22T00:00:00Z">
        <w:r>
          <w:t xml:space="preserve"> </w:t>
        </w:r>
      </w:ins>
      <w:ins w:id="10251"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52" w:author="Z. Zukowski" w:date="2026-05-22T00:00:00Z">
        <w:r>
          <w:t xml:space="preserve">Hurwicz, L. (1987). Inventing new institutions: The design perspective.</w:t>
        </w:r>
      </w:ins>
      <w:ins w:id="10252" w:author="Z. Zukowski" w:date="2026-05-22T00:00:00Z">
        <w:r>
          <w:t xml:space="preserve"> </w:t>
        </w:r>
      </w:ins>
      <w:ins w:id="10252" w:author="Z. Zukowski" w:date="2026-05-22T00:00:00Z">
        <w:r>
          <w:t xml:space="preserve">American Journal of Agricultural Economics, 69(2), 395-402.</w:t>
        </w:r>
      </w:ins>
      <w:ins w:id="10252" w:author="Z. Zukowski" w:date="2026-05-22T00:00:00Z">
        <w:r>
          <w:t xml:space="preserve"> </w:t>
        </w:r>
      </w:ins>
      <w:ins w:id="10252" w:author="Z. Zukowski" w:date="2026-05-22T00:00:00Z">
        <w:r>
          <w:t xml:space="preserve">https://doi.org/10.2307/1242293</w:t>
        </w:r>
      </w:ins>
    </w:p>
    <w:p>
      <w:pPr>
        <w:pStyle w:val="BodyText"/>
      </w:pPr>
      <w:ins w:id="10253" w:author="Z. Zukowski" w:date="2026-05-22T00:00:00Z">
        <w:r>
          <w:t xml:space="preserve">Jensen, M. C., &amp; Meckling, W. H. (1976). Theory of the firm: Managerial</w:t>
        </w:r>
      </w:ins>
      <w:ins w:id="10253" w:author="Z. Zukowski" w:date="2026-05-22T00:00:00Z">
        <w:r>
          <w:t xml:space="preserve"> </w:t>
        </w:r>
      </w:ins>
      <w:ins w:id="10253" w:author="Z. Zukowski" w:date="2026-05-22T00:00:00Z">
        <w:r>
          <w:t xml:space="preserve">behavior, agency costs and ownership structure. Journal of Financial</w:t>
        </w:r>
      </w:ins>
      <w:ins w:id="10253" w:author="Z. Zukowski" w:date="2026-05-22T00:00:00Z">
        <w:r>
          <w:t xml:space="preserve"> </w:t>
        </w:r>
      </w:ins>
      <w:ins w:id="10253" w:author="Z. Zukowski" w:date="2026-05-22T00:00:00Z">
        <w:r>
          <w:t xml:space="preserve">Economics, 3(4), 305-360. https://doi.org/10.1016/0304-405X(76)90026-X</w:t>
        </w:r>
      </w:ins>
    </w:p>
    <w:p>
      <w:pPr>
        <w:pStyle w:val="BodyText"/>
      </w:pPr>
      <w:ins w:id="10254" w:author="Z. Zukowski" w:date="2026-05-22T00:00:00Z">
        <w:r>
          <w:t xml:space="preserve">Khan, L. M. (2017). Amazon’s antitrust paradox. The Yale Law Journal,</w:t>
        </w:r>
      </w:ins>
      <w:ins w:id="10254" w:author="Z. Zukowski" w:date="2026-05-22T00:00:00Z">
        <w:r>
          <w:t xml:space="preserve"> </w:t>
        </w:r>
      </w:ins>
      <w:ins w:id="10254"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55" w:author="Z. Zukowski" w:date="2026-05-22T00:00:00Z">
        <w:r>
          <w:t xml:space="preserve">La Porta, R., Lopez-de-Silanes, F., &amp; Shleifer, A. (1999). Corporate</w:t>
        </w:r>
      </w:ins>
      <w:ins w:id="10255" w:author="Z. Zukowski" w:date="2026-05-22T00:00:00Z">
        <w:r>
          <w:t xml:space="preserve"> </w:t>
        </w:r>
      </w:ins>
      <w:ins w:id="10255" w:author="Z. Zukowski" w:date="2026-05-22T00:00:00Z">
        <w:r>
          <w:t xml:space="preserve">ownership around the world. Journal of Finance, 54(2), 471-517.</w:t>
        </w:r>
      </w:ins>
      <w:ins w:id="10255" w:author="Z. Zukowski" w:date="2026-05-22T00:00:00Z">
        <w:r>
          <w:t xml:space="preserve"> </w:t>
        </w:r>
      </w:ins>
      <w:ins w:id="10255"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56" w:author="Z. Zukowski" w:date="2026-05-22T00:00:00Z">
        <w:r>
          <w:t xml:space="preserve">Malenko, N., &amp; Shen, Y. (2016). The role of proxy advisory firms:</w:t>
        </w:r>
      </w:ins>
      <w:ins w:id="10256" w:author="Z. Zukowski" w:date="2026-05-22T00:00:00Z">
        <w:r>
          <w:t xml:space="preserve"> </w:t>
        </w:r>
      </w:ins>
      <w:ins w:id="10256" w:author="Z. Zukowski" w:date="2026-05-22T00:00:00Z">
        <w:r>
          <w:t xml:space="preserve">Evidence from a regression-discontinuity design. Review of Financial</w:t>
        </w:r>
      </w:ins>
      <w:ins w:id="10256" w:author="Z. Zukowski" w:date="2026-05-22T00:00:00Z">
        <w:r>
          <w:t xml:space="preserve"> </w:t>
        </w:r>
      </w:ins>
      <w:ins w:id="10256"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57" w:author="Z. Zukowski" w:date="2026-05-22T00:00:00Z">
        <w:r>
          <w:t xml:space="preserve">Nabben, K., &amp; De Filippi, P. (2024). Accountability protocols? On-chain</w:t>
        </w:r>
      </w:ins>
      <w:ins w:id="10257" w:author="Z. Zukowski" w:date="2026-05-22T00:00:00Z">
        <w:r>
          <w:t xml:space="preserve"> </w:t>
        </w:r>
      </w:ins>
      <w:ins w:id="10257" w:author="Z. Zukowski" w:date="2026-05-22T00:00:00Z">
        <w:r>
          <w:t xml:space="preserve">dynamics in blockchain governance. Internet Policy Review, 13(4).</w:t>
        </w:r>
      </w:ins>
      <w:ins w:id="10257" w:author="Z. Zukowski" w:date="2026-05-22T00:00:00Z">
        <w:r>
          <w:t xml:space="preserve"> </w:t>
        </w:r>
      </w:ins>
      <w:ins w:id="10257"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58" w:author="Z. Zukowski" w:date="2026-05-22T00:00:00Z">
        <w:r>
          <w:t xml:space="preserve">North, D. C. (1990). Institutions, institutional change and economic</w:t>
        </w:r>
      </w:ins>
      <w:ins w:id="10258" w:author="Z. Zukowski" w:date="2026-05-22T00:00:00Z">
        <w:r>
          <w:t xml:space="preserve"> </w:t>
        </w:r>
      </w:ins>
      <w:ins w:id="10258"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59" w:author="Z. Zukowski" w:date="2026-05-22T00:00:00Z">
        <w:r>
          <w:t xml:space="preserve">Penrose, L. S. (1946). The elementary statistics of majority voting.</w:t>
        </w:r>
      </w:ins>
      <w:ins w:id="10259" w:author="Z. Zukowski" w:date="2026-05-22T00:00:00Z">
        <w:r>
          <w:t xml:space="preserve"> </w:t>
        </w:r>
      </w:ins>
      <w:ins w:id="10259" w:author="Z. Zukowski" w:date="2026-05-22T00:00:00Z">
        <w:r>
          <w:t xml:space="preserve">Journal of the Royal Statistical Society, 109(1), 53-57.</w:t>
        </w:r>
      </w:ins>
      <w:ins w:id="10259" w:author="Z. Zukowski" w:date="2026-05-22T00:00:00Z">
        <w:r>
          <w:t xml:space="preserve"> </w:t>
        </w:r>
      </w:ins>
      <w:ins w:id="10259"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60" w:author="Z. Zukowski" w:date="2026-05-22T00:00:00Z">
        <w:r>
          <w:t xml:space="preserve">Polanyi, K. (1944). The great transformation: The political and</w:t>
        </w:r>
      </w:ins>
      <w:ins w:id="10260" w:author="Z. Zukowski" w:date="2026-05-22T00:00:00Z">
        <w:r>
          <w:t xml:space="preserve"> </w:t>
        </w:r>
      </w:ins>
      <w:ins w:id="10260"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61" w:author="Z. Zukowski" w:date="2026-05-22T00:00:00Z">
        <w:r>
          <w:t xml:space="preserve">Rozas, D., Tenorio-Fornés, A., Díaz-Molina, S., &amp; Hassan, S. (2021).</w:t>
        </w:r>
      </w:ins>
      <w:ins w:id="10261" w:author="Z. Zukowski" w:date="2026-05-22T00:00:00Z">
        <w:r>
          <w:t xml:space="preserve"> </w:t>
        </w:r>
      </w:ins>
      <w:ins w:id="10261" w:author="Z. Zukowski" w:date="2026-05-22T00:00:00Z">
        <w:r>
          <w:t xml:space="preserve">When Ostrom meets blockchain: Exploring the potentials of blockchain</w:t>
        </w:r>
      </w:ins>
      <w:ins w:id="10261" w:author="Z. Zukowski" w:date="2026-05-22T00:00:00Z">
        <w:r>
          <w:t xml:space="preserve"> </w:t>
        </w:r>
      </w:ins>
      <w:ins w:id="10261" w:author="Z. Zukowski" w:date="2026-05-22T00:00:00Z">
        <w:r>
          <w:t xml:space="preserve">for commons governance. SAGE Open, 11(1), 1-14.</w:t>
        </w:r>
      </w:ins>
      <w:ins w:id="10261" w:author="Z. Zukowski" w:date="2026-05-22T00:00:00Z">
        <w:r>
          <w:t xml:space="preserve"> </w:t>
        </w:r>
      </w:ins>
      <w:ins w:id="10261"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62" w:author="Z. Zukowski" w:date="2026-05-22T00:00:00Z">
        <w:r>
          <w:t xml:space="preserve">Schneider, N. (2024). Governable spaces: Democratic design for online</w:t>
        </w:r>
      </w:ins>
      <w:ins w:id="10262" w:author="Z. Zukowski" w:date="2026-05-22T00:00:00Z">
        <w:r>
          <w:t xml:space="preserve"> </w:t>
        </w:r>
      </w:ins>
      <w:ins w:id="10262" w:author="Z. Zukowski" w:date="2026-05-22T00:00:00Z">
        <w:r>
          <w:t xml:space="preserve">life. University of California Press (Luminos Open Access).</w:t>
        </w:r>
      </w:ins>
      <w:ins w:id="10262" w:author="Z. Zukowski" w:date="2026-05-22T00:00:00Z">
        <w:r>
          <w:t xml:space="preserve"> </w:t>
        </w:r>
      </w:ins>
      <w:ins w:id="10262"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63" w:author="Z. Zukowski" w:date="2026-05-22T00:00:00Z">
        <w:r>
          <w:t xml:space="preserve">Shapley, L. S., &amp; Shubik, M. (1954). A method for evaluating the</w:t>
        </w:r>
      </w:ins>
      <w:ins w:id="10263" w:author="Z. Zukowski" w:date="2026-05-22T00:00:00Z">
        <w:r>
          <w:t xml:space="preserve"> </w:t>
        </w:r>
      </w:ins>
      <w:ins w:id="10263" w:author="Z. Zukowski" w:date="2026-05-22T00:00:00Z">
        <w:r>
          <w:t xml:space="preserve">distribution of power in a committee system. American Political Science</w:t>
        </w:r>
      </w:ins>
      <w:ins w:id="10263" w:author="Z. Zukowski" w:date="2026-05-22T00:00:00Z">
        <w:r>
          <w:t xml:space="preserve"> </w:t>
        </w:r>
      </w:ins>
      <w:ins w:id="10263" w:author="Z. Zukowski" w:date="2026-05-22T00:00:00Z">
        <w:r>
          <w:t xml:space="preserve">Review, 48(3), 787-792. https://doi.org/10.2307/1951053</w:t>
        </w:r>
      </w:ins>
    </w:p>
    <w:p>
      <w:pPr>
        <w:pStyle w:val="BodyText"/>
      </w:pPr>
      <w:ins w:id="10264" w:author="Z. Zukowski" w:date="2026-05-22T00:00:00Z">
        <w:r>
          <w:t xml:space="preserve">Shleifer, A., &amp; Vishny, R. W. (1997). A survey of corporate governance.</w:t>
        </w:r>
      </w:ins>
      <w:ins w:id="10264" w:author="Z. Zukowski" w:date="2026-05-22T00:00:00Z">
        <w:r>
          <w:t xml:space="preserve"> </w:t>
        </w:r>
      </w:ins>
      <w:ins w:id="10264" w:author="Z. Zukowski" w:date="2026-05-22T00:00:00Z">
        <w:r>
          <w:t xml:space="preserve">Journal of Finance, 52(2), 737-783.</w:t>
        </w:r>
      </w:ins>
      <w:ins w:id="10264" w:author="Z. Zukowski" w:date="2026-05-22T00:00:00Z">
        <w:r>
          <w:t xml:space="preserve"> </w:t>
        </w:r>
      </w:ins>
      <w:ins w:id="10264" w:author="Z. Zukowski" w:date="2026-05-22T00:00:00Z">
        <w:r>
          <w:t xml:space="preserve">https://doi.org/10.1111/j.1540-6261.1997.tb04820.x</w:t>
        </w:r>
      </w:ins>
    </w:p>
    <w:p>
      <w:pPr>
        <w:pStyle w:val="BodyText"/>
      </w:pPr>
      <w:ins w:id="10265" w:author="Z. Zukowski" w:date="2026-05-22T00:00:00Z">
        <w:r>
          <w:t xml:space="preserve">Theil, H. (1967). Economics and information theory. North-Holland.</w:t>
        </w:r>
      </w:ins>
    </w:p>
    <w:p>
      <w:pPr>
        <w:pStyle w:val="BodyText"/>
      </w:pPr>
      <w:ins w:id="10266" w:author="Z. Zukowski" w:date="2026-05-22T00:00:00Z">
        <w:r>
          <w:t xml:space="preserve">Tirole, J. (2001). Corporate governance. Econometrica, 69(1), 1-35.</w:t>
        </w:r>
      </w:ins>
      <w:ins w:id="10266" w:author="Z. Zukowski" w:date="2026-05-22T00:00:00Z">
        <w:r>
          <w:t xml:space="preserve"> </w:t>
        </w:r>
      </w:ins>
      <w:ins w:id="10266"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67" w:author="Z. Zukowski" w:date="2026-05-22T00:00:00Z">
        <w:r>
          <w:t xml:space="preserve">Walch, A. (2019). Deconstructing</w:t>
        </w:r>
      </w:ins>
      <w:ins w:id="10267" w:author="Z. Zukowski" w:date="2026-05-22T00:00:00Z">
        <w:r>
          <w:t xml:space="preserve"> </w:t>
        </w:r>
      </w:ins>
      <w:ins w:id="10267" w:author="Z. Zukowski" w:date="2026-05-22T00:00:00Z">
        <w:r>
          <w:t xml:space="preserve">“decentralization”</w:t>
        </w:r>
      </w:ins>
      <w:ins w:id="10267" w:author="Z. Zukowski" w:date="2026-05-22T00:00:00Z">
        <w:r>
          <w:t xml:space="preserve">: Exploring the</w:t>
        </w:r>
      </w:ins>
      <w:ins w:id="10267" w:author="Z. Zukowski" w:date="2026-05-22T00:00:00Z">
        <w:r>
          <w:t xml:space="preserve"> </w:t>
        </w:r>
      </w:ins>
      <w:ins w:id="10267" w:author="Z. Zukowski" w:date="2026-05-22T00:00:00Z">
        <w:r>
          <w:t xml:space="preserve">core claim of crypto systems. In C. Brummer (Ed.), Cryptoassets: Legal,</w:t>
        </w:r>
      </w:ins>
      <w:ins w:id="10267" w:author="Z. Zukowski" w:date="2026-05-22T00:00:00Z">
        <w:r>
          <w:t xml:space="preserve"> </w:t>
        </w:r>
      </w:ins>
      <w:ins w:id="10267" w:author="Z. Zukowski" w:date="2026-05-22T00:00:00Z">
        <w:r>
          <w:t xml:space="preserve">regulatory, and monetary perspectives (pp. 140-166). Oxford University</w:t>
        </w:r>
      </w:ins>
      <w:ins w:id="10267" w:author="Z. Zukowski" w:date="2026-05-22T00:00:00Z">
        <w:r>
          <w:t xml:space="preserve"> </w:t>
        </w:r>
      </w:ins>
      <w:ins w:id="10267" w:author="Z. Zukowski" w:date="2026-05-22T00:00:00Z">
        <w:r>
          <w:t xml:space="preserve">Press.</w:t>
        </w:r>
      </w:ins>
    </w:p>
    <w:p>
      <w:pPr>
        <w:pStyle w:val="BodyText"/>
      </w:pPr>
      <w:ins w:id="10268" w:author="Z. Zukowski" w:date="2026-05-22T00:00:00Z">
        <w:r>
          <w:t xml:space="preserve">Wasserstein, R. L., &amp; Lazar, N. A. (2016). The ASA’s statement on</w:t>
        </w:r>
      </w:ins>
      <w:ins w:id="10268" w:author="Z. Zukowski" w:date="2026-05-22T00:00:00Z">
        <w:r>
          <w:t xml:space="preserve"> </w:t>
        </w:r>
      </w:ins>
      <w:ins w:id="10268" w:author="Z. Zukowski" w:date="2026-05-22T00:00:00Z">
        <w:r>
          <w:t xml:space="preserve">p-values: Context, process, and purpose. The American Statistician,</w:t>
        </w:r>
      </w:ins>
      <w:ins w:id="10268" w:author="Z. Zukowski" w:date="2026-05-22T00:00:00Z">
        <w:r>
          <w:t xml:space="preserve"> </w:t>
        </w:r>
      </w:ins>
      <w:ins w:id="10268"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69" w:author="Z. Zukowski" w:date="2026-05-22T00:00:00Z">
        <w:r>
          <w:t xml:space="preserve">Williamson, O. E. (1979). Transaction-cost economics: The governance</w:t>
        </w:r>
      </w:ins>
      <w:ins w:id="10269" w:author="Z. Zukowski" w:date="2026-05-22T00:00:00Z">
        <w:r>
          <w:t xml:space="preserve"> </w:t>
        </w:r>
      </w:ins>
      <w:ins w:id="10269" w:author="Z. Zukowski" w:date="2026-05-22T00:00:00Z">
        <w:r>
          <w:t xml:space="preserve">of contractual relations. Journal of Law and Economics, 22(2),</w:t>
        </w:r>
      </w:ins>
      <w:ins w:id="10269" w:author="Z. Zukowski" w:date="2026-05-22T00:00:00Z">
        <w:r>
          <w:t xml:space="preserve"> </w:t>
        </w:r>
      </w:ins>
      <w:ins w:id="10269"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70" w:author="Z. Zukowski" w:date="2026-05-22T00:00:00Z">
        <w:r>
          <w:t xml:space="preserve">Wu, T. (2018). The curse of bigness: Antitrust in the new gilded age.</w:t>
        </w:r>
      </w:ins>
      <w:ins w:id="10270" w:author="Z. Zukowski" w:date="2026-05-22T00:00:00Z">
        <w:r>
          <w:t xml:space="preserve"> </w:t>
        </w:r>
      </w:ins>
      <w:ins w:id="10270"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71" w:author="Z. Zukowski" w:date="2026-05-22T00:00:00Z">
        <w:r>
          <w:t xml:space="preserve">Zukowski, Z. (2026e). Why token governance concentrates: A Polanyian</w:t>
        </w:r>
      </w:ins>
      <w:ins w:id="10271" w:author="Z. Zukowski" w:date="2026-05-22T00:00:00Z">
        <w:r>
          <w:t xml:space="preserve"> </w:t>
        </w:r>
      </w:ins>
      <w:ins w:id="10271" w:author="Z. Zukowski" w:date="2026-05-22T00:00:00Z">
        <w:r>
          <w:t xml:space="preserve">extension to the fourth fictitious commodity. Working manuscript.</w:t>
        </w:r>
      </w:ins>
    </w:p>
    <w:p>
      <w:pPr>
        <w:pStyle w:val="BodyText"/>
      </w:pPr>
      <w:ins w:id="10272" w:author="Z. Zukowski" w:date="2026-05-22T00:00:00Z">
        <w:r>
          <w:t xml:space="preserve">Zukowski, Z. (2026f). Non-domination by design: A republican-commons</w:t>
        </w:r>
      </w:ins>
      <w:ins w:id="10272" w:author="Z. Zukowski" w:date="2026-05-22T00:00:00Z">
        <w:r>
          <w:t xml:space="preserve"> </w:t>
        </w:r>
      </w:ins>
      <w:ins w:id="10272" w:author="Z. Zukowski" w:date="2026-05-22T00:00:00Z">
        <w:r>
          <w:t xml:space="preserve">standard for legitimate token governance. Working manuscript.</w:t>
        </w:r>
      </w:ins>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56" Target="media/rId56.png" /><Relationship Type="http://schemas.openxmlformats.org/officeDocument/2006/relationships/image" Id="rId75" Target="media/rId75.png" /><Relationship Type="http://schemas.openxmlformats.org/officeDocument/2006/relationships/hyperlink" Id="rId44" Target="https://github.com/Research-Publications-and-Data/Tokenomics-As-Institutional_Design" TargetMode="External" /><Relationship Type="http://schemas.openxmlformats.org/officeDocument/2006/relationships/hyperlink" Id="rId91" Target="https://github.com/Research-Publications-and-Data/Tokenomics-As-Institutional_Design/blob/main/b2/paper/supplements/S10_pca_classification_robustness.md" TargetMode="External" /><Relationship Type="http://schemas.openxmlformats.org/officeDocument/2006/relationships/hyperlink" Id="rId89" Target="https://github.com/Research-Publications-and-Data/Tokenomics-As-Institutional_Design/blob/main/b2/paper/supplements/S12_pca_symmetric_robustness.md" TargetMode="External" /><Relationship Type="http://schemas.openxmlformats.org/officeDocument/2006/relationships/hyperlink" Id="rId68" Target="https://github.com/Research-Publications-and-Data/Tokenomics-As-Institutional_Design/blob/main/b2/paper/supplements/S14_power_indices_full_closure_2026-05-27.md" TargetMode="External" /><Relationship Type="http://schemas.openxmlformats.org/officeDocument/2006/relationships/hyperlink" Id="rId107"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6" Target="https://github.com/Research-Publications-and-Data/Tokenomics-As-Institutional_Design/blob/main/b2/paper/supplements/S23_trajectory_analysis_2026-05-27.md" TargetMode="External" /><Relationship Type="http://schemas.openxmlformats.org/officeDocument/2006/relationships/hyperlink" Id="rId79"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5" Target="https://github.com/Research-Publications-and-Data/Tokenomics-As-Institutional_Design/blob/main/b2/paper/supplements/S8_tt_expansion.md" TargetMode="External" /><Relationship Type="http://schemas.openxmlformats.org/officeDocument/2006/relationships/hyperlink" Id="rId93" Target="https://github.com/Research-Publications-and-Data/Tokenomics-As-Institutional_Design/blob/main/b2/paper/supplements/S9_theil_atkinson_robustness.md" TargetMode="External" /><Relationship Type="http://schemas.openxmlformats.org/officeDocument/2006/relationships/hyperlink" Id="rId51" Target="https://github.com/Research-Publications-and-Data/Tokenomics-As-Institutional_Design/blob/main/data/processed/exclusions_log.csv" TargetMode="External" /><Relationship Type="http://schemas.openxmlformats.org/officeDocument/2006/relationships/hyperlink" Id="rId10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44" Target="https://github.com/Research-Publications-and-Data/Tokenomics-As-Institutional_Design" TargetMode="External" /><Relationship Type="http://schemas.openxmlformats.org/officeDocument/2006/relationships/hyperlink" Id="rId91" Target="https://github.com/Research-Publications-and-Data/Tokenomics-As-Institutional_Design/blob/main/b2/paper/supplements/S10_pca_classification_robustness.md" TargetMode="External" /><Relationship Type="http://schemas.openxmlformats.org/officeDocument/2006/relationships/hyperlink" Id="rId89" Target="https://github.com/Research-Publications-and-Data/Tokenomics-As-Institutional_Design/blob/main/b2/paper/supplements/S12_pca_symmetric_robustness.md" TargetMode="External" /><Relationship Type="http://schemas.openxmlformats.org/officeDocument/2006/relationships/hyperlink" Id="rId68" Target="https://github.com/Research-Publications-and-Data/Tokenomics-As-Institutional_Design/blob/main/b2/paper/supplements/S14_power_indices_full_closure_2026-05-27.md" TargetMode="External" /><Relationship Type="http://schemas.openxmlformats.org/officeDocument/2006/relationships/hyperlink" Id="rId107"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106" Target="https://github.com/Research-Publications-and-Data/Tokenomics-As-Institutional_Design/blob/main/b2/paper/supplements/S23_trajectory_analysis_2026-05-27.md" TargetMode="External" /><Relationship Type="http://schemas.openxmlformats.org/officeDocument/2006/relationships/hyperlink" Id="rId79"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85" Target="https://github.com/Research-Publications-and-Data/Tokenomics-As-Institutional_Design/blob/main/b2/paper/supplements/S8_tt_expansion.md" TargetMode="External" /><Relationship Type="http://schemas.openxmlformats.org/officeDocument/2006/relationships/hyperlink" Id="rId93" Target="https://github.com/Research-Publications-and-Data/Tokenomics-As-Institutional_Design/blob/main/b2/paper/supplements/S9_theil_atkinson_robustness.md" TargetMode="External" /><Relationship Type="http://schemas.openxmlformats.org/officeDocument/2006/relationships/hyperlink" Id="rId51" Target="https://github.com/Research-Publications-and-Data/Tokenomics-As-Institutional_Design/blob/main/data/processed/exclusions_log.csv" TargetMode="External" /><Relationship Type="http://schemas.openxmlformats.org/officeDocument/2006/relationships/hyperlink" Id="rId10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Governance Concentration Beyond Token Allocation: A Live-Governance Study of 52 Token Protocols</dc:title>
  <dc:creator/>
  <cp:keywords/>
  <dcterms:created xsi:type="dcterms:W3CDTF">2026-06-03T18:02:46Z</dcterms:created>
  <dcterms:modified xsi:type="dcterms:W3CDTF">2026-06-03T18:02:46Z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