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robust in direction across leave-one-out, permutation, and a powered multivariate specification, with statistical significance conditional on the protocol-controlled-address and exchange-custody exclusion applied symmetrically across sectors, Section 4.6.2); and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p>
    <w:p>
      <w:pPr>
        <w:pStyle w:val="BodyText"/>
      </w:pPr>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establishes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cleaned of addresses that hold tokens but structurally cannot</w:t>
      </w:r>
      <w:r>
        <w:t xml:space="preserve"> </w:t>
      </w:r>
      <w:r>
        <w:t xml:space="preserve">vote. We construct a 52-protocol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and current institutional structure (sector,</w:t>
      </w:r>
      <w:r>
        <w:t xml:space="preserve"> </w:t>
      </w:r>
      <w:r>
        <w:t xml:space="preserve">insider retention, and delegation design) is the more informative</w:t>
      </w:r>
      <w:r>
        <w:t xml:space="preserve"> </w:t>
      </w:r>
      <w:r>
        <w:t xml:space="preserve">correlate.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0.011, Cohen’s d = 1.05),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which is vote-escrowed CRV, veBAL, vote-escrowed BAL, and veFXS, vote-escrowed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eighteen protocols, PCA classification is weaker on some Solana- and Substrate-native tokens, and the sample is still modest for</w:t>
      </w:r>
      <w:r>
        <w:t xml:space="preserve"> </w:t>
      </w:r>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3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§3 specifies the data and methods, §4 reports the results, and the four contributions stated in §1.1 are developed across them.</w:t>
      </w:r>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 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52-protocol sample (the exclusions log contains</w:t>
      </w:r>
      <w:r>
        <w:t xml:space="preserve"> </w:t>
      </w:r>
      <w:r>
        <w:t xml:space="preserve">the address-by-address documentation), but the generalizable typology</w:t>
      </w:r>
      <w:r>
        <w:t xml:space="preserve"> </w:t>
      </w:r>
      <w:r>
        <w:t xml:space="preserve">that future replication and extension work can apply uniformly.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 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 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w:t>
      </w:r>
      <w:r>
        <w:t xml:space="preserve"> </w:t>
      </w:r>
      <w:r>
        <w:t xml:space="preserve">38 protocols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3.8),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49">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p>
    <w:p>
      <w:pPr>
        <w:pStyle w:val="BodyText"/>
      </w:pPr>
      <w:r>
        <w:t xml:space="preserve">Revenue intensity, protocol maturity, and initial insider allocation are each uninformative, extending the launch-design null sweep to economic-activity intensity. 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w:t>
      </w:r>
    </w:p>
    <w:p>
      <w:pPr>
        <w:pStyle w:val="BodyText"/>
      </w:pPr>
      <w:r>
        <w:t xml:space="preserve">The specification reported here substitutes protocol maturity for insider retention so that it reproduces over the full covariate-complete sample, and serves as the reproducible robustness anchor. With the insider-retention vector now re-derived and persisted under the evidence-traced classification of record (Section 3.4), the alternative specification that enters insider retention in place of maturity also reproduces a significant DePIN sector coefficient, with the insider-retention regressor itself not significant at the full sample (the cohort difference noted above);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primary sample, the cell-level magnitudes are not directly comparable to the headline effect size, and the question of interest is whether the sector ordering survives the split rather than the size of the gap.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0.07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w:t>
      </w:r>
    </w:p>
    <w:bookmarkEnd w:id="62"/>
    <w:bookmarkStart w:id="75"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ENS (0.48x), GMX</w:t>
      </w:r>
      <w:r>
        <w:rPr>
          <w:i/>
          <w:iCs/>
        </w:rPr>
        <w:t xml:space="preserve"> </w:t>
      </w:r>
      <w:r>
        <w:rPr>
          <w:i/>
          <w:iCs/>
        </w:rPr>
        <w:t xml:space="preserve">(0.87x), HNT (0.26x to 0.39x), JUP (0.12x, the most-extreme dispersion</w:t>
      </w:r>
      <w:r>
        <w:rPr>
          <w:i/>
          <w:iCs/>
        </w:rPr>
        <w:t xml:space="preserve"> </w:t>
      </w:r>
      <w:r>
        <w:rPr>
          <w:i/>
          <w:iCs/>
        </w:rPr>
        <w:t xml:space="preserve">outlier), and Livepeer (0.27x, the most pronounced DePIN governance</w:t>
      </w:r>
      <w:r>
        <w:rPr>
          <w:i/>
          <w:iCs/>
        </w:rPr>
        <w:t xml:space="preserve"> </w:t>
      </w:r>
      <w:r>
        <w:rPr>
          <w:i/>
          <w:iCs/>
        </w:rPr>
        <w:t xml:space="preserve">disperser).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at 0.48x; GMX at 0.87x; HNT at 0.26x-0.39x; JUP at 0.12x; and LPT at 0.27x are</w:t>
      </w:r>
      <w:r>
        <w:t xml:space="preserve"> </w:t>
      </w:r>
      <w:r>
        <w:t xml:space="preserve">the five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the most-extreme dispersion outlier in the cross-section; LPT: Livepeer orchestrator bonded-stake delegation across roughly 100 orchestrators, the most pronounced DePIN governance disperser, with holdings concentration unchanged at the cross-section maximum). Within the</w:t>
      </w:r>
      <w:r>
        <w:t xml:space="preserve"> </w:t>
      </w:r>
      <w:r>
        <w:t xml:space="preserve">sample, the 2.5x to 25.6x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6">
        <w:r>
          <w:rPr>
            <w:rStyle w:val="Hyperlink"/>
          </w:rPr>
          <w:t xml:space="preserve">Supplementary File S14</w:t>
        </w:r>
      </w:hyperlink>
      <w:r>
        <w:t xml:space="preserve">.</w:t>
      </w:r>
    </w:p>
    <w:bookmarkStart w:id="67"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7"/>
    <w:bookmarkStart w:id="68"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(ENS at 0.48x; GMX at 0.87x; HNT at 0.26x-0.39x; JUP at 0.12x; LPT at 0.27x)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8"/>
    <w:bookmarkStart w:id="69"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9"/>
    <w:bookmarkStart w:id="70"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0"/>
    <w:bookmarkStart w:id="71"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1"/>
    <w:bookmarkStart w:id="72"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2"/>
    <w:bookmarkStart w:id="74"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3">
        <w:r>
          <w:rPr>
            <w:rStyle w:val="Hyperlink"/>
          </w:rPr>
          <w:t xml:space="preserve">Supplementary File S25</w:t>
        </w:r>
      </w:hyperlink>
      <w:r>
        <w:t xml:space="preserve">.</w:t>
      </w:r>
    </w:p>
    <w:bookmarkEnd w:id="74"/>
    <w:bookmarkEnd w:id="75"/>
    <w:bookmarkStart w:id="89"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0.011, Cohen’s d = 1.05) is robust to sample composition. The test remains significant</w:t>
      </w:r>
      <w:r>
        <w:t xml:space="preserve"> </w:t>
      </w:r>
      <w:r>
        <w:t xml:space="preserve">in all 30 of 30 leave-one-out iterations (per-iteration p range: 0.006</w:t>
      </w:r>
      <w:r>
        <w:t xml:space="preserve"> </w:t>
      </w:r>
      <w:r>
        <w:t xml:space="preserve">to 0.020; Cohen’s d range: 0.97 to 1.17; per-iteration LOO data (see Supplementary Figure S5b in Supplementary File S5 for the LOO forest plot) covers the per-</w:t>
      </w:r>
      <w:r>
        <w:t xml:space="preserve"> </w:t>
      </w:r>
      <w:r>
        <w:t xml:space="preserve">iteration forest plot with bootstrap 95% CI on the headline d). No single dropped</w:t>
      </w:r>
      <w:r>
        <w:t xml:space="preserve"> </w:t>
      </w:r>
      <w:r>
        <w:t xml:space="preserve">protocol pushes the per-iteration p-value above 0.020, and no single</w:t>
      </w:r>
      <w:r>
        <w:t xml:space="preserve"> </w:t>
      </w:r>
      <w:r>
        <w:t xml:space="preserve">protocol uniquely drives the result. A two-sided permutation</w:t>
      </w:r>
      <w:r>
        <w:t xml:space="preserve"> </w:t>
      </w:r>
      <w:r>
        <w:t xml:space="preserve">test (100,000 random reassignments of sector labels) yields p = 0.004,</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[+0.016,</w:t>
      </w:r>
      <w:r>
        <w:t xml:space="preserve"> </w:t>
      </w:r>
      <w:r>
        <w:t xml:space="preserve">+0.070] HHI points, strictly excluding zero; the Cohen’s d 95%</w:t>
      </w:r>
      <w:r>
        <w:t xml:space="preserve"> </w:t>
      </w:r>
      <w:r>
        <w:t xml:space="preserve">percentile interval is [0.56, 1.72], strictly above the small-effect</w:t>
      </w:r>
      <w:r>
        <w:t xml:space="preserve"> </w:t>
      </w:r>
      <w:r>
        <w:t xml:space="preserve">threshold and including the conventional large-effect threshold (d = 0.8; Cohen, 1988)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9">
        <w:r>
          <w:rPr>
            <w:rStyle w:val="Hyperlink"/>
          </w:rPr>
          <w:t xml:space="preserve">Supplementary File S8</w:t>
        </w:r>
      </w:hyperlink>
      <w:r>
        <w:t xml:space="preserve">.</w:t>
      </w:r>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3">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3">
        <w:r>
          <w:rPr>
            <w:rStyle w:val="Hyperlink"/>
          </w:rPr>
          <w:t xml:space="preserve">Supplementary File S12</w:t>
        </w:r>
      </w:hyperlink>
      <w:r>
        <w:t xml:space="preserve">.</w:t>
      </w:r>
    </w:p>
    <w:bookmarkEnd w:id="84"/>
    <w:bookmarkStart w:id="86"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p>
    <w:p>
      <w:pPr>
        <w:pStyle w:val="BodyText"/>
      </w:pPr>
      <w:r>
        <w:t xml:space="preserve">Full per-specification table and per-cell numerical detail are in</w:t>
      </w:r>
      <w:r>
        <w:t xml:space="preserve"> </w:t>
      </w:r>
      <w:hyperlink r:id="rId85">
        <w:r>
          <w:rPr>
            <w:rStyle w:val="Hyperlink"/>
          </w:rPr>
          <w:t xml:space="preserve">Supplementary File S10</w:t>
        </w:r>
      </w:hyperlink>
      <w:r>
        <w:t xml:space="preserve">.</w:t>
      </w:r>
    </w:p>
    <w:bookmarkEnd w:id="86"/>
    <w:bookmarkStart w:id="87"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87"/>
    <w:bookmarkStart w:id="88"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spanning a keyword-floor lower bound (any treasury- or multisig-keyword holder counted as insider) through reliability-gated and adversarially reviewed variants to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p>
    <w:p>
      <w:pPr>
        <w:pStyle w:val="BodyText"/>
      </w:pPr>
      <w:r>
        <w:t xml:space="preserve">Three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1"/>
    <w:bookmarkStart w:id="92"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2"/>
    <w:bookmarkStart w:id="93"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p>
    <w:bookmarkEnd w:id="93"/>
    <w:bookmarkStart w:id="94"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4"/>
    <w:bookmarkStart w:id="95"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95"/>
    <w:bookmarkStart w:id="96" w:name="contributions"/>
    <w:p>
      <w:pPr>
        <w:pStyle w:val="Heading2"/>
      </w:pPr>
      <w:r>
        <w:t xml:space="preserve">5.6 Contributions</w:t>
      </w:r>
    </w:p>
    <w:p>
      <w:pPr>
        <w:pStyle w:val="FirstParagraph"/>
      </w:pPr>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Voting-HHI exceeds post-exclusion holding HHI in thirteen of eighteen protocols with sufficient governance data, while ENS, GMX, HNT, JUP, and LPT show that dispersion is possible under different delegate-program, voting-mechanism, or bonded-stake-delegation designs. Curve, Balancer, and Frax form a separate vote-escrow class with much larger amplification.</w:t>
      </w:r>
    </w:p>
    <w:bookmarkEnd w:id="96"/>
    <w:bookmarkStart w:id="97" w:name="limitations"/>
    <w:p>
      <w:pPr>
        <w:pStyle w:val="Heading2"/>
      </w:pPr>
      <w:r>
        <w:t xml:space="preserve">5.7 Limitations</w:t>
      </w:r>
    </w:p>
    <w:p>
      <w:pPr>
        <w:pStyle w:val="FirstParagraph"/>
      </w:pPr>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p>
    <w:p>
      <w:pPr>
        <w:pStyle w:val="BodyText"/>
      </w:pPr>
      <w:r>
        <w:t xml:space="preserve">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w:t>
      </w:r>
    </w:p>
    <w:p>
      <w:pPr>
        <w:pStyle w:val="BodyText"/>
      </w:pPr>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 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p>
    <w:p>
      <w:pPr>
        <w:pStyle w:val="BodyText"/>
      </w:pPr>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p>
    <w:p>
      <w:pPr>
        <w:pStyle w:val="BodyText"/>
      </w:pPr>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p>
    <w:p>
      <w:pPr>
        <w:pStyle w:val="BodyText"/>
      </w:pPr>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p>
    <w:p>
      <w:pPr>
        <w:pStyle w:val="BodyText"/>
      </w:pPr>
      <w:r>
        <w:t xml:space="preserve">Measurement extensions that would refine these findings without changing</w:t>
      </w:r>
      <w:r>
        <w:t xml:space="preserve"> </w:t>
      </w:r>
      <w:r>
        <w:t xml:space="preserve">the core claim are enumerated in Section 5.8.</w:t>
      </w:r>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p>
    <w:p>
      <w:pPr>
        <w:pStyle w:val="BodyText"/>
      </w:pPr>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p>
    <w:p>
      <w:pPr>
        <w:pStyle w:val="BodyText"/>
      </w:pPr>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p>
    <w:p>
      <w:pPr>
        <w:pStyle w:val="BodyText"/>
      </w:pPr>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p>
    <w:p>
      <w:pPr>
        <w:pStyle w:val="BodyText"/>
      </w:pPr>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0">
        <w:r>
          <w:rPr>
            <w:rStyle w:val="Hyperlink"/>
          </w:rPr>
          <w:t xml:space="preserve">Supplementary File S17</w:t>
        </w:r>
      </w:hyperlink>
      <w:r>
        <w:t xml:space="preserve">.</w:t>
      </w:r>
    </w:p>
    <w:bookmarkEnd w:id="101"/>
    <w:bookmarkStart w:id="102"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2"/>
    <w:bookmarkEnd w:id="103"/>
    <w:bookmarkStart w:id="104"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p>
    <w:p>
      <w:pPr>
        <w:pStyle w:val="BodyText"/>
      </w:pPr>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2026-06-01T04:34:28Z</dcterms:created>
  <dcterms:modified xsi:type="dcterms:W3CDTF">2026-06-01T04:34:28Z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