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is robust under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2; in Model 3 with the full</w:t>
      </w:r>
      <w:r>
        <w:t xml:space="preserve"> </w:t>
      </w:r>
      <w:r>
        <w:t xml:space="preserve">control set the coefficient is positive and similar in magnitude but</w:t>
      </w:r>
      <w:r>
        <w:t xml:space="preserve"> </w:t>
      </w:r>
      <w:r>
        <w:t xml:space="preserve">falls just above the conventional threshold at p = 0.060; adjusted R²</w:t>
      </w:r>
      <w:r>
        <w:t xml:space="preserve"> </w:t>
      </w:r>
      <w:r>
        <w:t xml:space="preserve">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 distributes voting power below its holding baseline through a</w:t>
      </w:r>
      <w:r>
        <w:t xml:space="preserve"> </w:t>
      </w:r>
      <w:r>
        <w:t xml:space="preserve">delegate program supporting roughly 100 active community delegates</w:t>
      </w:r>
      <w:r>
        <w:t xml:space="preserve"> </w:t>
      </w:r>
      <w:r>
        <w:t xml:space="preserve">(amplification ratio 0.39x; Section 3.5.1). DIMO concentrates voting</w:t>
      </w:r>
      <w:r>
        <w:t xml:space="preserve"> </w:t>
      </w:r>
      <w:r>
        <w:t xml:space="preserve">power 9.1 times above its holdings through a Snapshot voter pool of</w:t>
      </w:r>
      <w:r>
        <w:t xml:space="preserve"> </w:t>
      </w:r>
      <w:r>
        <w:t xml:space="preserve">ten participants (Section 3.5). Across the ten-protocol governance</w:t>
      </w:r>
      <w:r>
        <w:t xml:space="preserve"> </w:t>
      </w:r>
      <w:r>
        <w:t xml:space="preserve">sample, the magnitude of delegation amplification varies from 1.2 to</w:t>
      </w:r>
      <w:r>
        <w:t xml:space="preserve"> </w:t>
      </w:r>
      <w:r>
        <w:t xml:space="preserve">11.4 times above the holding baseline, with one structural exception</w:t>
      </w:r>
      <w:r>
        <w:t xml:space="preserve"> </w:t>
      </w:r>
      <w:r>
        <w:t xml:space="preserve">(ENS). The cross-protocol variation is not predicted by sector</w:t>
      </w:r>
      <w:r>
        <w:t xml:space="preserve"> </w:t>
      </w:r>
      <w:r>
        <w:t xml:space="preserve">membership or governance venue but by institutional design at the</w:t>
      </w:r>
      <w:r>
        <w:t xml:space="preserve"> </w:t>
      </w:r>
      <w:r>
        <w:t xml:space="preserve">delegate-program level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2026-05-19T07:43:54Z</dcterms:created>
  <dcterms:modified xsi:type="dcterms:W3CDTF">2026-05-19T07:43:54Z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