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ver-letter-b2-r2-submission"/>
    <w:p>
      <w:pPr>
        <w:pStyle w:val="Heading1"/>
      </w:pPr>
      <w:r>
        <w:t xml:space="preserve">Cover letter: B2 R2 submission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Editorial Office, Frontiers in Blockchain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Zach Zukowski (Tokenization Systems; zach@tokenization.systems)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Tokenomics as Applied Political Philosophy: Governance Concentration Beyond Token Allocation (Manuscript ID 1853465; SSRN 6599278)</w:t>
      </w:r>
      <w:r>
        <w:t xml:space="preserve"> </w:t>
      </w:r>
      <w:r>
        <w:rPr>
          <w:b/>
          <w:bCs/>
        </w:rPr>
        <w:t xml:space="preserve">Title note (2026-05-22 update):</w:t>
      </w:r>
      <w:r>
        <w:t xml:space="preserve"> </w:t>
      </w:r>
      <w:r>
        <w:t xml:space="preserve">Title revised from the as-R2-submitted</w:t>
      </w:r>
      <w:r>
        <w:t xml:space="preserve"> </w:t>
      </w:r>
      <w:r>
        <w:t xml:space="preserve">“Governance Concentration Beyond Token Allocation: An Institutional Design Analysis of DePIN and DeFi”</w:t>
      </w:r>
      <w:r>
        <w:t xml:space="preserve"> </w:t>
      </w:r>
      <w:r>
        <w:t xml:space="preserve">to the current title per DEC-190 (Cycle 14 below). Empirical content and conclusions unchanged; framework-evidence integration elevated to the title surface. The short catalog form</w:t>
      </w:r>
      <w:r>
        <w:t xml:space="preserve"> </w:t>
      </w:r>
      <w:r>
        <w:t xml:space="preserve">“Governance Concentration Beyond Token Allocation”</w:t>
      </w:r>
      <w:r>
        <w:t xml:space="preserve"> </w:t>
      </w:r>
      <w:r>
        <w:t xml:space="preserve">(the subtitle of the new full title) preserves identity continuity with the prior title across cross-paper citations.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2026-05-17</w:t>
      </w:r>
      <w:r>
        <w:t xml:space="preserve"> </w:t>
      </w:r>
      <w:r>
        <w:rPr>
          <w:b/>
          <w:bCs/>
        </w:rPr>
        <w:t xml:space="preserve">Round:</w:t>
      </w:r>
      <w:r>
        <w:t xml:space="preserve"> </w:t>
      </w:r>
      <w:r>
        <w:t xml:space="preserve">R2 revision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 and Reviewers,</w:t>
      </w:r>
    </w:p>
    <w:p>
      <w:pPr>
        <w:pStyle w:val="BodyText"/>
      </w:pPr>
      <w:r>
        <w:t xml:space="preserve">I am submitting the R2 revision of</w:t>
      </w:r>
      <w:r>
        <w:t xml:space="preserve"> </w:t>
      </w:r>
      <w:r>
        <w:t xml:space="preserve">“Governance Concentration Beyond Token Allocation: An Institutional Design Analysis of DePIN and DeFi”</w:t>
      </w:r>
      <w:r>
        <w:t xml:space="preserve"> </w:t>
      </w:r>
      <w:r>
        <w:t xml:space="preserve">addressing Reviewer 1’s four R1-round comments and including substantial additional strengthening to the philosophical and methodological framework. This cover letter was authored 2026-05-17 to summarize the R1-reviewer-response cycle. Post-2026-05-17 internal hygiene cycles (deep-PCA-audit 2026-05-19; cycle 6 finalization 2026-05-21) further strengthened the manuscript findings beyond the R1-reviewer-flagged scope; those are documented in the</w:t>
      </w:r>
      <w:r>
        <w:t xml:space="preserve"> </w:t>
      </w:r>
      <w:r>
        <w:t xml:space="preserve">“Post-2026-05-17 internal hygiene”</w:t>
      </w:r>
      <w:r>
        <w:t xml:space="preserve"> </w:t>
      </w:r>
      <w:r>
        <w:t xml:space="preserve">section near the close of this letter, with per-surface numeric refreshes inline below where the R1-response narratives reference values that subsequently advanced.</w:t>
      </w:r>
    </w:p>
    <w:bookmarkStart w:id="9" w:name="summary-of-r1-round-2-issues-addressed"/>
    <w:p>
      <w:pPr>
        <w:pStyle w:val="Heading2"/>
      </w:pPr>
      <w:r>
        <w:t xml:space="preserve">Summary of R1 round-2 issues addressed</w:t>
      </w:r>
    </w:p>
    <w:p>
      <w:pPr>
        <w:pStyle w:val="FirstParagraph"/>
      </w:pPr>
      <w:r>
        <w:t xml:space="preserve">Reviewer 1’s R1 round-2 review identified four classes of manuscript-vs-data-of-record drift. All four are addressed in this submission. The accompanying point-by-point response document (</w:t>
      </w:r>
      <w:r>
        <w:rPr>
          <w:rStyle w:val="VerbatimChar"/>
        </w:rPr>
        <w:t xml:space="preserve">2026-05-17_R2_responses_master.md</w:t>
      </w:r>
      <w:r>
        <w:t xml:space="preserve">) details each fix at the level of granularity raised. In brief: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7 holding-HHI inconsistency</w:t>
      </w:r>
      <w:r>
        <w:t xml:space="preserve">: Fully recomputed with post-exclusion holding HHIs consistent with Table 4. The R1-reviewer-flagged scope identified three protocols (Uniswap, Optimism, Lido) showing updated amplification ratios; two (Uniswap, Optimism) flip from delegation-dispersion to delegation-amplification under correct exclusion methodology, producing a substantive new finding (see below). The subsequent post-2026-05-17 deep-PCA-audit cycle (commit</w:t>
      </w:r>
      <w:r>
        <w:t xml:space="preserve"> </w:t>
      </w:r>
      <w:r>
        <w:rPr>
          <w:rStyle w:val="VerbatimChar"/>
        </w:rPr>
        <w:t xml:space="preserve">3a8c3065</w:t>
      </w:r>
      <w:r>
        <w:t xml:space="preserve">; 2026-05-19) extended this work by shifting Table 4 holding HHIs for nine protocols and expanding the Table 7 sample from N=8 to N=10 (added GMX and ENS via Tally additions per a 12-month governance-activity gate); see</w:t>
      </w:r>
      <w:r>
        <w:t xml:space="preserve"> </w:t>
      </w:r>
      <w:r>
        <w:t xml:space="preserve">“Post-2026-05-17 internal hygiene”</w:t>
      </w:r>
      <w:r>
        <w:t xml:space="preserve"> </w:t>
      </w:r>
      <w:r>
        <w:t xml:space="preserve">section below.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Curve Top-10 column + CRV text disambiguation</w:t>
      </w:r>
      <w:r>
        <w:t xml:space="preserve">: Top-10% corrected to post-exclusion value (34.4%). Body-text references to CRV 0.171 disambiguated: raw post-exclusion CRV HHI (0.017) is distinguished from veCRV-weighted voting concentration (0.26, computed directly from Convex contract aggregation of top-50 historical lockers, a methodological strengthening over the R1 proxy estimate).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5 N=40 and TT-expanded reproducibility</w:t>
      </w:r>
      <w:r>
        <w:t xml:space="preserve">: Hivemapper, io.net, and Aethir Gini values computed via Helius DAS API and Dune holder lists; all three now appear as full Table 4 rows. Table 5 HHI-Gini correlation now reports N=40 with complete data. TT-expanded subsidy N corrected from 22 (stale count) to 19 in the 2026-05-17 cycle; the post-2026-05-17 cycle 6 finalization workstream (cycle 12 net-flow operationalization 2026-05-19) further expanded the sample to N=20 with Pearson r=0.12, p=0.61, confirming the same qualitative null finding.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Figure-vs-text statistical drift</w:t>
      </w:r>
      <w:r>
        <w:t xml:space="preserve">: Manuscript surfaces now align on canonical values from a single regression dataset. Figure regeneration was in flight at 2026-05-17 cover letter authoring; subsequent cycles completed the regeneration (Fig 6 delegation amplification regenerated 2026-05-19 at commit</w:t>
      </w:r>
      <w:r>
        <w:t xml:space="preserve"> </w:t>
      </w:r>
      <w:r>
        <w:rPr>
          <w:rStyle w:val="VerbatimChar"/>
        </w:rPr>
        <w:t xml:space="preserve">3a8c3065</w:t>
      </w:r>
      <w:r>
        <w:t xml:space="preserve"> </w:t>
      </w:r>
      <w:r>
        <w:t xml:space="preserve">with higher-precision raw_hhi inputs for figure-text alignment; Fig 9 LOO forest regenerated 2026-05-19 at commit</w:t>
      </w:r>
      <w:r>
        <w:t xml:space="preserve"> </w:t>
      </w:r>
      <w:r>
        <w:rPr>
          <w:rStyle w:val="VerbatimChar"/>
        </w:rPr>
        <w:t xml:space="preserve">fb9ab9c6</w:t>
      </w:r>
      <w:r>
        <w:t xml:space="preserve">). Regenerated figures are in the R2 submission package.</w:t>
      </w:r>
    </w:p>
    <w:bookmarkEnd w:id="9"/>
    <w:bookmarkStart w:id="10" w:name="X731d165037507730b9c1c83c8bf6de3cd990500"/>
    <w:p>
      <w:pPr>
        <w:pStyle w:val="Heading2"/>
      </w:pPr>
      <w:r>
        <w:t xml:space="preserve">Substantive new finding emerging from R1 corrections</w:t>
      </w:r>
    </w:p>
    <w:p>
      <w:pPr>
        <w:pStyle w:val="FirstParagraph"/>
      </w:pPr>
      <w:r>
        <w:t xml:space="preserve">Applying the post-exclusion methodology consistently across Table 4 and Table 7 produces a</w:t>
      </w:r>
      <w:r>
        <w:t xml:space="preserve"> </w:t>
      </w:r>
      <w:r>
        <w:rPr>
          <w:b/>
          <w:bCs/>
        </w:rPr>
        <w:t xml:space="preserve">predominant-amplification finding</w:t>
      </w:r>
      <w:r>
        <w:t xml:space="preserve"> </w:t>
      </w:r>
      <w:r>
        <w:t xml:space="preserve">that evolved through three methodology cycles. The cycle-13-refreshed framing (2026-05-21) had eight of ten protocols amplifying with two structural exceptions (ENS at 0.45x; GMX at 0.87x); the 2026-05-22 multi-source PCA-symmetric extension (Cycle 15 below) expanded the Table 7 sample to N=13 (added Solana JUP delegated-vote, HNT VSR lockup-weighted, DRIFT VSR lockup-weighted) and the</w:t>
      </w:r>
      <w:r>
        <w:t xml:space="preserve"> </w:t>
      </w:r>
      <w:r>
        <w:rPr>
          <w:b/>
          <w:bCs/>
        </w:rPr>
        <w:t xml:space="preserve">current canonical framing is nine of thirteen protocols amplifying with four structural exceptions (ENS 0.45x mature-delegate-program; GMX 0.87x methodology-sensitive; HNT 0.35x-0.53x Solana VSR-lockup-weighted; JUP 0.057x most-extreme dispersion outlier with Solana delegated-vote plus broad airdrop user base mechanism)</w:t>
      </w:r>
      <w:r>
        <w:t xml:space="preserve">. Amplification factors now range from 1.6x (DRIFT) to 9.9x (Compound) with mean approximately 4.9x for the nine amplifying protocols. JUP at 0.057x is 8x more extreme than the previous most-extreme outlier ENS, introducing a fundamentally new design pattern producing concentration order-of-magnitude below the cross-section median. Two protocols previously cited as delegation-dispersion counterexamples (Uniswap at 2.7x; Optimism at 3.6x) joined the amplification pattern under correct exclusion methodology in the cycle-13 reframe and remain in the amplifying set in Cycle 15. Curve and Balancer (vote-escrowed governance via veCRV and veBAL) show extreme amplification (15x and 21x respectively) reflecting lock-duration weighting and are discussed separately in Section 4.1 as a distinct ve-token class. The finding strengthens the paper’s main thesis that institutional design at the operator and router level governs governance outcomes; magnitude-only variation within sector is a cleaner empirical signal than direction variation. Section 3.7 adds a PCA-symmetric robustness check extending across three governance-data sources (Tally all-delegates depth; Snapshot signer-side functional-PCA exclusion via new</w:t>
      </w:r>
      <w:r>
        <w:t xml:space="preserve"> </w:t>
      </w:r>
      <w:r>
        <w:rPr>
          <w:rStyle w:val="VerbatimChar"/>
        </w:rPr>
        <w:t xml:space="preserve">exclusions_log_signer.csv</w:t>
      </w:r>
      <w:r>
        <w:t xml:space="preserve"> </w:t>
      </w:r>
      <w:r>
        <w:t xml:space="preserve">canonical store; Solana on-chain governance program parsing) confirming the finding holds across all Tally-sourced protocols even when foundation and aggregation-contract delegates are excluded.</w:t>
      </w:r>
    </w:p>
    <w:bookmarkEnd w:id="10"/>
    <w:bookmarkStart w:id="11" w:name="Xad51b1eb395c2e38676a5e9f6db84e745065848"/>
    <w:p>
      <w:pPr>
        <w:pStyle w:val="Heading2"/>
      </w:pPr>
      <w:r>
        <w:t xml:space="preserve">Substantial R2 enhancements beyond reviewer-flagged issues</w:t>
      </w:r>
    </w:p>
    <w:p>
      <w:pPr>
        <w:pStyle w:val="FirstParagraph"/>
      </w:pPr>
      <w:r>
        <w:t xml:space="preserve">In addition to addressing all four R1 reviewer issues, the R2 cycle has substantively strengthened the philosophical-methodological framework: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Philosophical-credibility two-layer framing</w:t>
      </w:r>
      <w:r>
        <w:t xml:space="preserve"> </w:t>
      </w:r>
      <w:r>
        <w:t xml:space="preserve">(Section 2.10.1; Table 1): Each lens now carries an explicit operational mechanism (what is scored) and a philosophical goal (the normative warrant). This resolves the R1 Table 1 internal inconsistency where the Pettit row labeled</w:t>
      </w:r>
      <w:r>
        <w:t xml:space="preserve"> </w:t>
      </w:r>
      <w:r>
        <w:t xml:space="preserve">“Contestation”</w:t>
      </w:r>
      <w:r>
        <w:t xml:space="preserve"> </w:t>
      </w:r>
      <w:r>
        <w:t xml:space="preserve">while glossing</w:t>
      </w:r>
      <w:r>
        <w:t xml:space="preserve"> </w:t>
      </w:r>
      <w:r>
        <w:t xml:space="preserve">“freedom from arbitrary power”</w:t>
      </w:r>
      <w:r>
        <w:t xml:space="preserve"> </w:t>
      </w:r>
      <w:r>
        <w:t xml:space="preserve">(the definition of non-domination, not contestation). The two-layer structure prevents the common conflation of philosophical goal with institutional mechanism and is applied consistently across all five lenses.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Inter-lens relationships paragraph</w:t>
      </w:r>
      <w:r>
        <w:t xml:space="preserve"> </w:t>
      </w:r>
      <w:r>
        <w:t xml:space="preserve">(Section 2.9.6): New paragraph documenting that the five lenses are mutually reinforcing rather than orthogonal, providing the philosophical architecture for the Synergy Index aggregation choice.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Systematic empirical-philosophical mapping</w:t>
      </w:r>
      <w:r>
        <w:t xml:space="preserve"> </w:t>
      </w:r>
      <w:r>
        <w:t xml:space="preserve">(Section 4.1): For each major empirical finding, philosophical implications across applicable lenses are made explicit; the predominant delegation amplification finding (with ENS + GMX structural exceptions preserving the dispersion pattern as informative counterexamples; Section 3.5.1 + 3.5.1.1) registers across all five lenses simultaneously.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Comparative methodology</w:t>
      </w:r>
      <w:r>
        <w:t xml:space="preserve"> </w:t>
      </w:r>
      <w:r>
        <w:t xml:space="preserve">(Section 4.5): New paragraph positioning the five-lens framework against existing DAO assessment frameworks (Aragon DAO Health Index, Snapshot analytics, Boardroom, DAOstar standards) along three dimensions: scope, aggregation, comparability.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Falsifiable forward claims + pre-registration intent</w:t>
      </w:r>
      <w:r>
        <w:t xml:space="preserve"> </w:t>
      </w:r>
      <w:r>
        <w:t xml:space="preserve">(Section 4.9): Two specific predictions about subsequent cross-protocol governance trajectories that future panel-data work can test, with intent to pre-register hypothesis specifications.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availability and reproducibility statement</w:t>
      </w:r>
      <w:r>
        <w:t xml:space="preserve"> </w:t>
      </w:r>
      <w:r>
        <w:t xml:space="preserve">(Section 4.9): Explicit statement of replication-repository contents including the 40-protocol dataset, exclusions log, Phase 0 supplementary data (Hivemapper / io.net / Aethir holder distributions; veCRV cumulative deposits; Theil and Atkinson supplementary metrics).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Methodological depth additions</w:t>
      </w:r>
      <w:r>
        <w:t xml:space="preserve"> </w:t>
      </w:r>
      <w:r>
        <w:t xml:space="preserve">(Section 3.7): Theil (1967) and Atkinson (1970) inequality indices computed under PCA-symmetric methodology as a robustness check on HHI’s value-validity; Shapley-Shubik (1954) and Banzhaf (1965) power indices acknowledged as voting-theory complements to HHI; Hirschman (1964) historical source for the HHI itself; multiple-comparisons correction note via Benjamini-Hochberg false-discovery-rate adjustment.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Operationalization-dependency caveat</w:t>
      </w:r>
      <w:r>
        <w:t xml:space="preserve"> </w:t>
      </w:r>
      <w:r>
        <w:t xml:space="preserve">(Section 4.8): Explicit acknowledgment that the framework’s empirical conclusions depend on operationalization choices; alternative scoring criteria for the same lens could yield different lens scores.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21 new citations</w:t>
      </w:r>
      <w:r>
        <w:t xml:space="preserve"> </w:t>
      </w:r>
      <w:r>
        <w:t xml:space="preserve">across philosophy (Skinner, Cohen, Habermas, Berlin, Beitz, Pogge, Pettit 2012, Rawls 2001, Brennan &amp; Buchanan, Hardin), mechanism design (Holmstrom, Tirole, North), voting theory (Shapley &amp; Shubik, Banzhaf), DAO political theory (DuPont, Atzori, Schneider), and inequality measurement (Theil, Atkinson, Hirschman).</w:t>
      </w:r>
    </w:p>
    <w:bookmarkEnd w:id="11"/>
    <w:bookmarkStart w:id="12" w:name="submission-package-contents"/>
    <w:p>
      <w:pPr>
        <w:pStyle w:val="Heading2"/>
      </w:pPr>
      <w:r>
        <w:t xml:space="preserve">Submission package contents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B2_Frontiers_R2_clean.docx + B2_Frontiers_R2_clean.pdf</w:t>
      </w:r>
      <w:r>
        <w:t xml:space="preserve">: Revised manuscript (clean version)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B2_Frontiers_R2_tracked_changes.docx + B2_Frontiers_R2_tracked_changes.pdf</w:t>
      </w:r>
      <w:r>
        <w:t xml:space="preserve">: Revised manuscript with tracked changes from R1 baseline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2026-05-17_R2_responses_master.md (.docx + .pdf)</w:t>
      </w:r>
      <w:r>
        <w:t xml:space="preserve">: Point-by-point response to Reviewer 1 comments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cover letter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files (S1 through S17; expanded 2026-05-22 per word-cap trim cycle; see Cycle 14 below)</w:t>
      </w:r>
      <w:r>
        <w:t xml:space="preserve">: Methodology and replication materials, including:</w:t>
      </w:r>
    </w:p>
    <w:p>
      <w:pPr>
        <w:pStyle w:val="Compact"/>
        <w:numPr>
          <w:ilvl w:val="1"/>
          <w:numId w:val="1004"/>
        </w:numPr>
      </w:pPr>
      <w:r>
        <w:t xml:space="preserve">S1: Metric definitions including Synergy Index construction</w:t>
      </w:r>
    </w:p>
    <w:p>
      <w:pPr>
        <w:pStyle w:val="Compact"/>
        <w:numPr>
          <w:ilvl w:val="1"/>
          <w:numId w:val="1004"/>
        </w:numPr>
      </w:pPr>
      <w:r>
        <w:t xml:space="preserve">S2: Scoring rubric templates with worked examples</w:t>
      </w:r>
    </w:p>
    <w:p>
      <w:pPr>
        <w:pStyle w:val="Compact"/>
        <w:numPr>
          <w:ilvl w:val="1"/>
          <w:numId w:val="1004"/>
        </w:numPr>
      </w:pPr>
      <w:r>
        <w:t xml:space="preserve">S3: Per-protocol scoring sheets</w:t>
      </w:r>
    </w:p>
    <w:p>
      <w:pPr>
        <w:pStyle w:val="Compact"/>
        <w:numPr>
          <w:ilvl w:val="1"/>
          <w:numId w:val="1004"/>
        </w:numPr>
      </w:pPr>
      <w:r>
        <w:t xml:space="preserve">S5: Replication pipeline specification</w:t>
      </w:r>
    </w:p>
    <w:p>
      <w:pPr>
        <w:pStyle w:val="Compact"/>
        <w:numPr>
          <w:ilvl w:val="1"/>
          <w:numId w:val="1004"/>
        </w:numPr>
      </w:pPr>
      <w:r>
        <w:t xml:space="preserve">S6: Address-by-address exclusion methodology documentation</w:t>
      </w:r>
    </w:p>
    <w:p>
      <w:pPr>
        <w:pStyle w:val="Compact"/>
        <w:numPr>
          <w:ilvl w:val="1"/>
          <w:numId w:val="1004"/>
        </w:numPr>
      </w:pPr>
      <w:r>
        <w:t xml:space="preserve">S7: Quarterly HHI panel for 14 governance tokens (8 quarters post-TGE)</w:t>
      </w:r>
    </w:p>
    <w:p>
      <w:pPr>
        <w:pStyle w:val="Compact"/>
        <w:numPr>
          <w:ilvl w:val="1"/>
          <w:numId w:val="1004"/>
        </w:numPr>
      </w:pPr>
      <w:r>
        <w:t xml:space="preserve">S8: Token Terminal expansion subsidy sensitivity analysis</w:t>
      </w:r>
    </w:p>
    <w:p>
      <w:pPr>
        <w:pStyle w:val="Compact"/>
        <w:numPr>
          <w:ilvl w:val="1"/>
          <w:numId w:val="1004"/>
        </w:numPr>
      </w:pPr>
      <w:r>
        <w:t xml:space="preserve">S9: Theil and Atkinson supplementary metrics (R2 addition)</w:t>
      </w:r>
    </w:p>
    <w:p>
      <w:pPr>
        <w:pStyle w:val="Compact"/>
        <w:numPr>
          <w:ilvl w:val="1"/>
          <w:numId w:val="1004"/>
        </w:numPr>
      </w:pPr>
      <w:r>
        <w:t xml:space="preserve">S10 (NEW 2026-05-22): PCA-classification 5-spec robustness (per-specification narrative interpretation + alternative-classification rationale; main paper retains the 5-spec results table + interpretation summary)</w:t>
      </w:r>
    </w:p>
    <w:p>
      <w:pPr>
        <w:pStyle w:val="Compact"/>
        <w:numPr>
          <w:ilvl w:val="1"/>
          <w:numId w:val="1004"/>
        </w:numPr>
      </w:pPr>
      <w:r>
        <w:t xml:space="preserve">S11 (NEW 2026-05-22): Banzhaf + Shapley-Shubik power-index calculations (full quorum-variation matrix + per-protocol Banzhaf-by-Shapley-Shubik divergence; main paper retains the Shapley-Shubik r = 0.999 vs voting-HHI summary + AAVE Banzhaf divergence)</w:t>
      </w:r>
    </w:p>
    <w:p>
      <w:pPr>
        <w:pStyle w:val="Compact"/>
        <w:numPr>
          <w:ilvl w:val="1"/>
          <w:numId w:val="1004"/>
        </w:numPr>
      </w:pPr>
      <w:r>
        <w:t xml:space="preserve">S12 (NEW 2026-05-22): PCA-symmetric robustness check (per-protocol Compound Foundation + stkAAVE staking-aggregation case interpretations; main paper retains the predominant-amplification-holds summary)</w:t>
      </w:r>
    </w:p>
    <w:p>
      <w:pPr>
        <w:pStyle w:val="Compact"/>
        <w:numPr>
          <w:ilvl w:val="1"/>
          <w:numId w:val="1004"/>
        </w:numPr>
      </w:pPr>
      <w:r>
        <w:t xml:space="preserve">S15 (NEW 2026-05-22): Optimism worked example full per-lens narrative (cited governance documentation; two-layer-framing caveat; main paper retains the condensed per-lens scoring + Synergy Index aggregation)</w:t>
      </w:r>
    </w:p>
    <w:p>
      <w:pPr>
        <w:pStyle w:val="Compact"/>
        <w:numPr>
          <w:ilvl w:val="1"/>
          <w:numId w:val="1004"/>
        </w:numPr>
      </w:pPr>
      <w:r>
        <w:t xml:space="preserve">S16 (NEW 2026-05-22): Aethir / IoTeX / ENS sensitivity analyses (cycle 13 audit-trail; per-protocol PCA-exclusion edge-case detail; main paper retains the cascade-update summary)</w:t>
      </w:r>
    </w:p>
    <w:p>
      <w:pPr>
        <w:pStyle w:val="Compact"/>
        <w:numPr>
          <w:ilvl w:val="1"/>
          <w:numId w:val="1004"/>
        </w:numPr>
      </w:pPr>
      <w:r>
        <w:t xml:space="preserve">S17 (NEW 2026-05-22): Falsifiable predictions detail (full operationalization per prediction + falsification thresholds + pre-registration commitment; main paper retains the 4-prediction brief list)</w:t>
      </w:r>
    </w:p>
    <w:p>
      <w:pPr>
        <w:pStyle w:val="Compact"/>
        <w:numPr>
          <w:ilvl w:val="1"/>
          <w:numId w:val="1004"/>
        </w:numPr>
      </w:pPr>
      <w:r>
        <w:t xml:space="preserve">Phase 0 R2 supplementary exhibits: holders_ATH_2026-05-17.csv, theil_atkinson_2026-05-17.csv, veCRV_voting_concentration_2026-05-17.csv, phase0_data_collection_results_2026-05-17.md</w:t>
      </w:r>
    </w:p>
    <w:bookmarkEnd w:id="12"/>
    <w:bookmarkStart w:id="13" w:name="methodology-disclosure"/>
    <w:p>
      <w:pPr>
        <w:pStyle w:val="Heading2"/>
      </w:pPr>
      <w:r>
        <w:t xml:space="preserve">Methodology disclosure</w:t>
      </w:r>
    </w:p>
    <w:p>
      <w:pPr>
        <w:pStyle w:val="FirstParagraph"/>
      </w:pPr>
      <w:r>
        <w:t xml:space="preserve">The R2 cycle adopted a single-canonical-regression-dataset-of-record discipline to prevent recurrence of the manuscript-vs-data drift Reviewer 1 surfaced. The Section 2.10.3 methodology note documents this discipline. Snapshot-date discipline is acknowledged: the original Table 7 voting HHI values for the eight protocols sampled in the R1-reviewer-flagged scope use a March 2026 snapshot consistent with the rest of the dataset; the GMX and ENS additions from the post-2026-05-17 sample expansion use a May 2026 Tally snapshot (documented in Section 2.10.3 as a deliberate methodological exception for the sample-expansion protocols). The May 2026 Tally and Snapshot replication is consistent with delegate-pool drift (Compound active-delegate count and Snapshot voter count both shifted) but the rank ordering across protocols is the more durable inferential property than absolute magnitude.</w:t>
      </w:r>
    </w:p>
    <w:bookmarkEnd w:id="13"/>
    <w:bookmarkStart w:id="14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 served as Senior Investment Analyst at Borderless Capital, a cryptocurrency-focused investment firm, through February 2026 and retains no decision-making role, carried interest, or position-dependent compensation with the firm. The author may hold small personal positions in some protocols analyzed; positions were established outside the research period and are not position-dependent on Borderless Capital. A complete disclosure is provided in the Conflict of Interest statement accompanying this submission. No co-authors or other conflicts of interest.</w:t>
      </w:r>
    </w:p>
    <w:bookmarkEnd w:id="14"/>
    <w:bookmarkStart w:id="15" w:name="post-2026-05-17-internal-hygiene"/>
    <w:p>
      <w:pPr>
        <w:pStyle w:val="Heading2"/>
      </w:pPr>
      <w:r>
        <w:t xml:space="preserve">Post-2026-05-17 internal hygiene</w:t>
      </w:r>
    </w:p>
    <w:p>
      <w:pPr>
        <w:pStyle w:val="FirstParagraph"/>
      </w:pPr>
      <w:r>
        <w:t xml:space="preserve">Subsequent to authoring this cover letter on 2026-05-17, two internal hygiene cycles ran against the manuscript without altering the R1-reviewer-flagged scope. Both strengthened (not weakened) the findings; the per-surface refreshes inline above reflect their effects.</w:t>
      </w:r>
    </w:p>
    <w:p>
      <w:pPr>
        <w:pStyle w:val="BodyText"/>
      </w:pPr>
      <w:r>
        <w:rPr>
          <w:b/>
          <w:bCs/>
        </w:rPr>
        <w:t xml:space="preserve">Cycle 5 (2026-05-19; deep-PCA-audit + universal-audit cascade)</w:t>
      </w:r>
      <w:r>
        <w:t xml:space="preserve">. The 126-address PCA audit (commit</w:t>
      </w:r>
      <w:r>
        <w:t xml:space="preserve"> </w:t>
      </w:r>
      <w:r>
        <w:rPr>
          <w:rStyle w:val="VerbatimChar"/>
        </w:rPr>
        <w:t xml:space="preserve">19529d6a</w:t>
      </w:r>
      <w:r>
        <w:t xml:space="preserve"> </w:t>
      </w:r>
      <w:r>
        <w:t xml:space="preserve">workflow +</w:t>
      </w:r>
      <w:r>
        <w:t xml:space="preserve"> </w:t>
      </w:r>
      <w:r>
        <w:rPr>
          <w:rStyle w:val="VerbatimChar"/>
        </w:rPr>
        <w:t xml:space="preserve">52146a1</w:t>
      </w:r>
      <w:r>
        <w:t xml:space="preserve"> </w:t>
      </w:r>
      <w:r>
        <w:t xml:space="preserve">replication) shifted Table 4 holding HHIs for nine protocols and expanded Table 7 from N=8 to N=10 (added GMX and ENS via Tally additions; 12-month governance-activity gate). Amplification range expanded from 1.9x-6.8x (mean 4.1x) to 1.2x-11.4x (mean 5.3x). The universal-amplification thesis reframes to near-universal: 9 of 10 protocols amplify; ENS is the single structural exception at 0.57x dispersion (mature delegate program where holders systematically delegate to a broader community-delegate set; Section 3.5.1 documents this as institutional-design-tractable rather than mechanism-inevitable). A subsequent universal-audit cycle (commit</w:t>
      </w:r>
      <w:r>
        <w:t xml:space="preserve"> </w:t>
      </w:r>
      <w:r>
        <w:rPr>
          <w:rStyle w:val="VerbatimChar"/>
        </w:rPr>
        <w:t xml:space="preserve">a6d684c3</w:t>
      </w:r>
      <w:r>
        <w:t xml:space="preserve">) refined ENS holding HHI from 0.071 to 0.049 via PCA exclusion of the ENS Cold Wallet (4.29M ENS, 5.2 percent of supply; verified on-chain as Safe Singleton 1.3.0 Smart Account; nick.eth creator), yielding the current 0.57x ratio. All R2 headline findings preserved across these cycles: allocation null (r=0.17, p=0.32, N=37); DePIN-DeFi sector contrast (Mann-Whitney p=0.020, Cohen’s d=0.94, LOO 30/30, permutation p=0.003); subsidy disconnect (Livepeer outlier); near-universal delegation amplification (with ENS exception). Figure 6 was regenerated with higher-precision raw_hhi inputs at this point.</w:t>
      </w:r>
    </w:p>
    <w:p>
      <w:pPr>
        <w:pStyle w:val="BodyText"/>
      </w:pPr>
      <w:r>
        <w:rPr>
          <w:b/>
          <w:bCs/>
        </w:rPr>
        <w:t xml:space="preserve">Cycle 6 (2026-05-21; LFU 2300 absorption + cascade-audit)</w:t>
      </w:r>
      <w:r>
        <w:t xml:space="preserve">. PAPER.md Section 3.4 + Section 3.6 stat surfaces (20 surfaces) cascaded to current canonical regression dataset values. One substantive direction-of-effect change emerged: the subsidy-excluding-Livepeer correlation reframes from</w:t>
      </w:r>
      <w:r>
        <w:t xml:space="preserve"> </w:t>
      </w:r>
      <w:r>
        <w:t xml:space="preserve">“weakens substantially to r=0.45 / p=0.052 just above conventional 0.05 threshold”</w:t>
      </w:r>
      <w:r>
        <w:t xml:space="preserve"> </w:t>
      </w:r>
      <w:r>
        <w:t xml:space="preserve">to</w:t>
      </w:r>
      <w:r>
        <w:t xml:space="preserve"> </w:t>
      </w:r>
      <w:r>
        <w:t xml:space="preserve">“drops to clean null at r=0.03 / p=0.90 / N=24”</w:t>
      </w:r>
      <w:r>
        <w:t xml:space="preserve">; the Livepeer-driven-outlier finding strengthens. TT-expanded subsidy N expanded from N=19 to N=20 with corresponding Pearson r=0.12, p=0.61 confirming the same qualitative null finding. The sector contrast headline (Mann-Whitney p=0.020, Cohen’s d=0.94) was verified unchanged across both cycles. 16 calibrated-verb violations were cleared from PAPER.md prose during cycle 6 closeout follow-on; PAPER.md em-dash and calibrated-verb audits both return clean post-cycle.</w:t>
      </w:r>
    </w:p>
    <w:p>
      <w:pPr>
        <w:pStyle w:val="BodyText"/>
      </w:pPr>
      <w:r>
        <w:rPr>
          <w:b/>
          <w:bCs/>
        </w:rPr>
        <w:t xml:space="preserve">Cycle 13 (2026-05-21; voting-HHI methodology refresh)</w:t>
      </w:r>
      <w:r>
        <w:t xml:space="preserve">. Per a</w:t>
      </w:r>
      <w:r>
        <w:t xml:space="preserve"> </w:t>
      </w:r>
      <w:r>
        <w:t xml:space="preserve">“Snapshot data may be corrupt + expand to at least N=1000”</w:t>
      </w:r>
      <w:r>
        <w:t xml:space="preserve"> </w:t>
      </w:r>
      <w:r>
        <w:t xml:space="preserve">investigation, the voting-HHI methodology was refreshed comprehensively: Snapshot side pulled ALL proposals in the 12-month rolling window 2025-05-22 to 2026-05-22 (vs the pre-refresh 5-proposals-per-protocol sample), and Tally side expanded from top-100 to top-1000 delegates per protocol via paginated GraphQL queries. The refresh surfaced a substantive thesis shift: 8-of-10 protocols amplify (was 9-of-10); GMX flipped from amplification 1.2x (at Tally top-100) to dispersion 0.87x (at Tally top-1000); ENS dispersion deepened from 0.57x to 0.45x. The 1.2x GMX amplification finding in earlier cycles was a sampling-depth artifact, not a stable property of the underlying delegate-program design. Per-protocol ratio shifts: Compound 5.7x to 9.9x (largest amplification increase; Snapshot N expanded 114 to 138); Lido 11.4x to 6.3x (largest decrease; Snapshot N 262 to 333); Arbitrum 4.4x to 3.1x; Aave 5.9x to 4.8x; WeatherXM 3.3x to 3.8x; Uniswap 2.8x to 2.7x; DIMO 9.1x unchanged (genuine N=10). All R2 headline findings preserved: allocation null (r=0.05, p=0.76, N=37); DePIN-DeFi sector contrast (Mann-Whitney p=0.020, Cohen’s d=0.94); subsidy disconnect (Livepeer outlier); predominant delegation amplification (with ENS + GMX structural exceptions). NEW EC-2026-05-21-B2-Voting-HHI-Sampling-Methodology-Floor codified; F-B2-9 entry header reframed to predominant; NEW Section 3.5.1.1 GMX counterexample subsection added; Table 7 caption + Section 2.10.3 extended with refresh methodology documentation.</w:t>
      </w:r>
    </w:p>
    <w:p>
      <w:pPr>
        <w:pStyle w:val="BodyText"/>
      </w:pPr>
      <w:r>
        <w:rPr>
          <w:b/>
          <w:bCs/>
        </w:rPr>
        <w:t xml:space="preserve">Method-of-record discipline</w:t>
      </w:r>
      <w:r>
        <w:t xml:space="preserve">: all three cycles followed the single-canonical-regression-dataset-of-record discipline established in the R2-2026-05-17 cycle (Section 2.10.3). The submission package included with this letter (B2_Frontiers_R2_clean.docx + .pdf; B2_Frontiers_R2_tracked_changes.docx + .pdf) reflects manuscript state post-cycle-13 voting-HHI methodology refresh.</w:t>
      </w:r>
    </w:p>
    <w:p>
      <w:pPr>
        <w:pStyle w:val="BodyText"/>
      </w:pPr>
      <w:r>
        <w:rPr>
          <w:b/>
          <w:bCs/>
        </w:rPr>
        <w:t xml:space="preserve">Cycle 14 (2026-05-22; title rename + COI correction + word-cap trim cycle)</w:t>
      </w:r>
      <w:r>
        <w:t xml:space="preserve">. Three post-R2 hygiene improvements landed in a single cycle 2026-05-22.</w:t>
      </w:r>
    </w:p>
    <w:p>
      <w:pPr>
        <w:pStyle w:val="BodyText"/>
      </w:pPr>
      <w:r>
        <w:rPr>
          <w:i/>
          <w:iCs/>
        </w:rPr>
        <w:t xml:space="preserve">Title rename (DEC-190)</w:t>
      </w:r>
      <w:r>
        <w:t xml:space="preserve">. The manuscript title was revised from</w:t>
      </w:r>
      <w:r>
        <w:t xml:space="preserve"> </w:t>
      </w:r>
      <w:r>
        <w:t xml:space="preserve">“Governance Concentration Beyond Token Allocation: An Institutional Design Analysis of DePIN and DeFi”</w:t>
      </w:r>
      <w:r>
        <w:t xml:space="preserve"> </w:t>
      </w:r>
      <w:r>
        <w:t xml:space="preserve">to</w:t>
      </w:r>
      <w:r>
        <w:t xml:space="preserve"> </w:t>
      </w:r>
      <w:r>
        <w:t xml:space="preserve">“Tokenomics as Applied Political Philosophy: Governance Concentration Beyond Token Allocation”</w:t>
      </w:r>
      <w:r>
        <w:t xml:space="preserve"> </w:t>
      </w:r>
      <w:r>
        <w:t xml:space="preserve">to better reflect the paper’s stated core thesis (Section 1.2). The empirical content, methodology, and conclusions are unchanged from the R2 resubmission shipped 2026-05-12. The five-lens philosophical framework (Kantian publicity, Rawlsian fairness, Republican non-domination, Ostromian polycentricity, Hayekian knowledge-use) operationalized against the 40-protocol cross-section remains the analytical core; the title rename elevates the framework-empirical integration to the title surface. SSRN v3 upload is in process (the SSRN v2 PDF at abstract ID 6599278 will be replaced with the post-rename PDF); Frontiers editor notification accompanying this update is documented at</w:t>
      </w:r>
      <w:r>
        <w:t xml:space="preserve"> </w:t>
      </w:r>
      <w:r>
        <w:rPr>
          <w:rStyle w:val="VerbatimChar"/>
        </w:rPr>
        <w:t xml:space="preserve">handoff/author_instructions/B2_Frontiers_Editor_Title_Change_Notification_2026-05-22.md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COI correction</w:t>
      </w:r>
      <w:r>
        <w:t xml:space="preserve">. The Conflict of Interest statement in Section 2.10.8 was corrected to reflect that the author’s tenure at Borderless Capital ended February 2026. The R2 manuscript carried stale</w:t>
      </w:r>
      <w:r>
        <w:t xml:space="preserve"> </w:t>
      </w:r>
      <w:r>
        <w:t xml:space="preserve">“is employed by”</w:t>
      </w:r>
      <w:r>
        <w:t xml:space="preserve"> </w:t>
      </w:r>
      <w:r>
        <w:t xml:space="preserve">framing; the corrected text reads:</w:t>
      </w:r>
      <w:r>
        <w:t xml:space="preserve"> </w:t>
      </w:r>
      <w:r>
        <w:t xml:space="preserve">“The author served as Senior Investment Analyst at Borderless Capital, a cryptocurrency-focused investment firm, through February 2026 and retains no decision-making role, carried interest, or position-dependent compensation with the firm. The author may hold small personal positions in some of the protocols analyzed; positions were established outside the research period and are not position-dependent on Borderless Capital.”</w:t>
      </w:r>
    </w:p>
    <w:p>
      <w:pPr>
        <w:pStyle w:val="BodyText"/>
      </w:pPr>
      <w:r>
        <w:rPr>
          <w:i/>
          <w:iCs/>
        </w:rPr>
        <w:t xml:space="preserve">Word-cap trim cycle</w:t>
      </w:r>
      <w:r>
        <w:t xml:space="preserve">. In preparation for the Frontiers 12,000 word soft cap (the R2 manuscript was accepted for review at 17,702 words; the soft cap is treated as soft for substantive contributions), a targeted trim cycle reduced the body prose by ~1,381 words (~7.8% reduction) to ~16,321 words. The trim was structured as a hybrid supplementary migration: 6 new supplementary files (S10 through S17 enumerated in the Submission package contents section above) capture computational detail and per-protocol narrative depth that previously sat inline in the main paper, while inline summaries preserve all load-bearing inferential defenses and the framework-empirical bridges that the title rename specifically elevated. A post-trim audit cycle identified 5 substantive content losses where in-place compressions removed framework-empirical bridges rather than verbose methodology; all 5 were restored (cumulative restoration: +69 pandoc-equivalent words). Trim-effects assessment: directional findings preserved across the trim; statistical-significance reporting preserved verbatim; framework-evidence integration preserved per the title rename’s editorial direction. Pre-trim binaries are preserved at</w:t>
      </w:r>
      <w:r>
        <w:t xml:space="preserve"> </w:t>
      </w:r>
      <w:r>
        <w:rPr>
          <w:rStyle w:val="VerbatimChar"/>
        </w:rPr>
        <w:t xml:space="preserve">/tmp/B2_Pre_Word_Cap_Trim_2026-05-22_clean.{docx,pdf}</w:t>
      </w:r>
      <w:r>
        <w:t xml:space="preserve"> </w:t>
      </w:r>
      <w:r>
        <w:t xml:space="preserve">for rollback audit-trail.</w:t>
      </w:r>
    </w:p>
    <w:p>
      <w:pPr>
        <w:pStyle w:val="BodyText"/>
      </w:pPr>
      <w:r>
        <w:rPr>
          <w:b/>
          <w:bCs/>
        </w:rPr>
        <w:t xml:space="preserve">Cycle 15 (2026-05-22; multi-source PCA-symmetric extension + max-effort deep-read audit + tracked-changes readability fix)</w:t>
      </w:r>
      <w:r>
        <w:t xml:space="preserve">. A four-part cycle landed 2026-05-22 substantively strengthening reviewer-defensibility while preserving all R2 headline findings.</w:t>
      </w:r>
    </w:p>
    <w:p>
      <w:pPr>
        <w:pStyle w:val="BodyText"/>
      </w:pPr>
      <w:r>
        <w:rPr>
          <w:i/>
          <w:iCs/>
        </w:rPr>
        <w:t xml:space="preserve">Multi-source PCA-symmetric extension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1751fd5c</w:t>
      </w:r>
      <w:r>
        <w:t xml:space="preserve"> </w:t>
      </w:r>
      <w:r>
        <w:t xml:space="preserve">workflow +</w:t>
      </w:r>
      <w:r>
        <w:t xml:space="preserve"> </w:t>
      </w:r>
      <w:r>
        <w:rPr>
          <w:rStyle w:val="VerbatimChar"/>
        </w:rPr>
        <w:t xml:space="preserve">d4366a1</w:t>
      </w:r>
      <w:r>
        <w:t xml:space="preserve"> </w:t>
      </w:r>
      <w:r>
        <w:t xml:space="preserve">replication). The §3.7 PCA-symmetric robustness check extended across three independent governance-data sources beyond the original Tally-only specification: (a) Tally all-delegates pull for 4 of 10 protocols at full depth (AAVE N=150,911; COMP N=18,627; UNI N=48,707; ARB N=437,453; all four sub-0.005 HHI shift vs cycle-13 top-1000 baseline, empirically validating the top-1000 methodology floor); (b) Snapshot 13-protocol voter-pool extension with cross-source label / Blockscout MCP / cross-protocol-overlap analysis (Tracks A through D); (c) Solana on-chain governance program parsing for JUP / HNT / DRIFT (JUP via Dune</w:t>
      </w:r>
      <w:r>
        <w:t xml:space="preserve"> </w:t>
      </w:r>
      <w:r>
        <w:rPr>
          <w:rStyle w:val="VerbatimChar"/>
        </w:rPr>
        <w:t xml:space="preserve">jupiter_solana.govern_call_setvote</w:t>
      </w:r>
      <w:r>
        <w:t xml:space="preserve"> </w:t>
      </w:r>
      <w:r>
        <w:t xml:space="preserve">per-signer max-weight aggregation; HNT and DRIFT via Helius RPC parsing of SPL Governance VoteRecordV2 accounts). A new sibling canonical store</w:t>
      </w:r>
      <w:r>
        <w:t xml:space="preserve"> </w:t>
      </w:r>
      <w:r>
        <w:rPr>
          <w:rStyle w:val="VerbatimChar"/>
        </w:rPr>
        <w:t xml:space="preserve">data/processed/exclusions_log_signer.csv</w:t>
      </w:r>
      <w:r>
        <w:t xml:space="preserve"> </w:t>
      </w:r>
      <w:r>
        <w:t xml:space="preserve">registers signer-side functional-PCA voters (Compound Foundation 0xb06df4dd…; Balancer DAO multisig 0xad9992f3…; Kevin Owocki / Gitcoin Maintainer 0x00de4b13…; WXM Hedgey-vested insider 0x96d8901a…; 4 confirmed entries after the DIMO Foundation candidate was REFUTED via Polygon Blockscout MCP funding-source verification). A methodologically substantive finding: PCA-symmetric exclusion is NOT monotonic in the concentration-reduction direction; GTC HHI shifts from 0.1792 to 0.1948 upon signer-side PCA exclusion (smaller-denominator effect when excluded PCA holds dominant share). Three new EC entries codified: EC-2026-05-22-B2-WXM-Snapshot-Top1-Identification (hypothesis-revision audit trail); EC-2026-05-22-B2-HNT-Vote-Count-Proxy-vs-Lockup-Weight-Drift (methodology-floor drift; 5-7.5x shift between vote-count proxy and proper VSR lockup-weight); EC-2026-05-22-B2-DRIFT-Realms-Mint-Citation-Correction (surface-extraction-vs-on-chain-truth drift).</w:t>
      </w:r>
    </w:p>
    <w:p>
      <w:pPr>
        <w:pStyle w:val="BodyText"/>
      </w:pPr>
      <w:r>
        <w:rPr>
          <w:i/>
          <w:iCs/>
        </w:rPr>
        <w:t xml:space="preserve">Table 7 N=10 to N=13 expansion + F-B2-9 reframe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37635794</w:t>
      </w:r>
      <w:r>
        <w:t xml:space="preserve">). Per the multi-source extension, three Solana-native protocols (JUP delegated-vote 0.057x dispersion; HNT VSR lockup-weighted 0.35x-0.53x sensitivity-range dispersion; DRIFT VSR lockup-weighted 1.6x mild amplification) were added to Table 7. Aave row updated from cycle-13 top-1000 0.062 to all-delegates 0.058 (4.4x ratio; methodology-floor empirical-validation tolerance under 0.005). F-B2-9 framing reframed from</w:t>
      </w:r>
      <w:r>
        <w:t xml:space="preserve"> </w:t>
      </w:r>
      <w:r>
        <w:t xml:space="preserve">“8 of 10 amplify with 2 structural exceptions”</w:t>
      </w:r>
      <w:r>
        <w:t xml:space="preserve"> </w:t>
      </w:r>
      <w:r>
        <w:t xml:space="preserve">to</w:t>
      </w:r>
      <w:r>
        <w:t xml:space="preserve"> </w:t>
      </w:r>
      <w:r>
        <w:t xml:space="preserve">“9 of 13 amplify (range 1.6x DRIFT to 9.9x Compound; mean approximately 4.9x) with 4 structural exceptions (ENS 0.45x mature-delegate-program per Section 3.5.1; GMX 0.87x methodology-sensitive per Section 3.5.1.1; HNT 0.35x-0.53x Solana VSR-lockup-weighted per Section 3.5.4; JUP 0.057x most-extreme dispersion outlier with Solana delegated-vote + broad-airdrop-user-base mechanism per Section 3.5.4)”</w:t>
      </w:r>
      <w:r>
        <w:t xml:space="preserve">. Substantive thesis evolution: JUP at 0.057x is the new most-extreme dispersion outlier (8x more extreme than prior most-extreme ENS at 0.45x), introducing a fundamentally new design pattern (Solana delegated-vote + broad airdrop user base) producing concentration order-of-magnitude below the cross-section median. F-B2-9 predominant-amplification thesis PRESERVED at 9-of-13 majority. Three new PAPER.md subsections added: §3.5.4 within-Solana governance concentration heterogeneity; §3.5.4.1 Drift Foundation proposal-authorship versus vote-weight decoupling pattern; §3.5.5 cross-protocol institutional-governance-investor pattern (PGov + Tane + Arana ~17% combined Snapshot voting power; ~8% combined Tally voting power across ARB+COMP+UNI; candidate Fifth Concentration Axis alongside the four already in B2 scope). Figure 6 PNG regenerated with N=13 data via the canonical</w:t>
      </w:r>
      <w:r>
        <w:t xml:space="preserve"> </w:t>
      </w:r>
      <w:r>
        <w:rPr>
          <w:rStyle w:val="VerbatimChar"/>
        </w:rPr>
        <w:t xml:space="preserve">tools/content-build/b2_figure6_regen.py</w:t>
      </w:r>
      <w:r>
        <w:t xml:space="preserve"> </w:t>
      </w:r>
      <w:r>
        <w:t xml:space="preserve">script; Figure 3 caption refreshed to current canonical (133 PCAs / 38 protocols post-cycle-4 audit; Aethir 0.095 / WeatherXM 0.148 / io.net 0.125 top DePIN cluster after IoTeX dropped from 0.189 to 0.081). 12+ prose surfaces cascaded with N=13 framing across abstract Finding 4, §1.4 fourth finding, §3.5 narrative, §3.7 amplification sub-text, §4.1 inter-lens implications, §4.6 summary of findings, §4.7 contributions, §5/6 governance design implications.</w:t>
      </w:r>
    </w:p>
    <w:p>
      <w:pPr>
        <w:pStyle w:val="BodyText"/>
      </w:pPr>
      <w:r>
        <w:rPr>
          <w:i/>
          <w:iCs/>
        </w:rPr>
        <w:t xml:space="preserve">Max-effort deep-read stale-anchor audit (8 passes; ~80 anchors cleared)</w:t>
      </w:r>
      <w:r>
        <w:t xml:space="preserve">. A systematic 8-pass deep-read audit cleared cumulative stale anchors arising from the multi-cycle revision arc: Pass 1 wording-variation residuals from the F-B2-9 reframe cascade (13 surfaces); Pass 2 Table 7 source-attribution completeness (Solana sources + cycle-13 voter counts; 1 footnote refresh); Pass 3 protocol-specific HHI cycle drift (7 surfaces; Curve 0.017 to 0.014 raw post-Convex-exclusion; Jupiter max-DeFi HHI 0.117 to 0.096; Hyperliquid minimum 0.004 to 0.005; Figure 3 caption pre-fix IoTeX 0.189 cluster reference); Pass 4 sequential-read in-context inconsistencies (13 surfaces; abstract Finding 4 enumeration; §1.4 amplifier list missing DRIFT; §3.3 DePIN mean 0.077 pre-IoTeX-fix to 0.071 post-fix; WeatherXM voting 0.486 to 0.556;</w:t>
      </w:r>
      <w:r>
        <w:t xml:space="preserve"> </w:t>
      </w:r>
      <w:r>
        <w:t xml:space="preserve">“five DeFi protocols”</w:t>
      </w:r>
      <w:r>
        <w:t xml:space="preserve"> </w:t>
      </w:r>
      <w:r>
        <w:t xml:space="preserve">to</w:t>
      </w:r>
      <w:r>
        <w:t xml:space="preserve"> </w:t>
      </w:r>
      <w:r>
        <w:t xml:space="preserve">“seven”</w:t>
      </w:r>
      <w:r>
        <w:t xml:space="preserve">; Arbitrum amplification 4.4x typo to 3.1x; ENS top-1 19.9% pre-Cold-Wallet-fix to 16.8%); Pass 5 additional cross-checks (5 surfaces; Hivemapper 0.017 to 0.018; Morpheus 0.031 to 0.046; AAVE delegation HHI 0.076 to 0.058; Figure 8 r=0.00 to r=-0.10; AAVE Shapley-Shubik methodology-mismatch acknowledgment); Pass 6 systematic Python-based Table 4 row vs sibling-clone replication CSV canonical (4 substantive row corrections; Aethir HHI 0.0868 to 0.0948 with updated Top-1 19.7% / Top-10 67.6%; LayerZero / Arbitrum / Optimism row refreshes); Pass 7 abstract-vs-Table 5 internal consistency (3 surfaces; Table 5 insider count fraction row rho=0.44 to 0.48 / p=0.005 to 0.003 / N=39 to 37 to match abstract canonical; LOO footnote 39/39 to 37/37); Pass 8 Table 4 N column convention per author directive (33 row updates: N now represents pre-exclusion sample size = 1,000 + number of PCAs; e.g., Optimism N = 1,007 reflects top-1,007 pre-exclusion sample with 7 PCAs excluded to yield 1,000 non-PCA holders for HHI computation). Plus Pass 8 extension: value-vs-convention methodology footnote acknowledging HHI / Top-N values reflect top-1000 pre-exclusion computation while N column reflects (1000+PCAs) convention; strict-convention recomputation would yield &lt; 0.0001 HHI shift / &lt; 0.1pp Top-N shift (immaterial for cross-protocol comparisons).</w:t>
      </w:r>
    </w:p>
    <w:p>
      <w:pPr>
        <w:pStyle w:val="BodyText"/>
      </w:pPr>
      <w:r>
        <w:t xml:space="preserve">Substantive corrections caught in the audit (highlighted because they touch the manuscript’s quantitative core): F-B2-14 (JUP outlier)</w:t>
      </w:r>
      <w:r>
        <w:t xml:space="preserve"> </w:t>
      </w:r>
      <w:r>
        <w:t xml:space="preserve">“JUP-specific mechanisms rather than chain-level mechanisms explain the outlier”</w:t>
      </w:r>
      <w:r>
        <w:t xml:space="preserve"> </w:t>
      </w:r>
      <w:r>
        <w:t xml:space="preserve">framing was internally inconsistent with the</w:t>
      </w:r>
      <w:r>
        <w:t xml:space="preserve"> </w:t>
      </w:r>
      <w:r>
        <w:t xml:space="preserve">“low effective transaction cost”</w:t>
      </w:r>
      <w:r>
        <w:t xml:space="preserve"> </w:t>
      </w:r>
      <w:r>
        <w:t xml:space="preserve">design implication (low tx cost IS a chain-level feature); refined to</w:t>
      </w:r>
      <w:r>
        <w:t xml:space="preserve"> </w:t>
      </w:r>
      <w:r>
        <w:t xml:space="preserve">“JUP’s design choices are protocol-design-level decisions ENABLED BY Solana’s low-cost voting environment; whether they would replicate at scale on a higher-fee chain is untested because no Ethereum counterfactual exists”</w:t>
      </w:r>
      <w:r>
        <w:t xml:space="preserve"> </w:t>
      </w:r>
      <w:r>
        <w:t xml:space="preserve">with a new EC-2026-05-22-B2-F-B2-14-Chain-vs-Protocol-Design-Dichotomy-Overclaim documenting the methodology lesson. F-B2-15 (within-Solana heterogeneity) DRIFT mis-classification corrected (was</w:t>
      </w:r>
      <w:r>
        <w:t xml:space="preserve"> </w:t>
      </w:r>
      <w:r>
        <w:t xml:space="preserve">“delegated-vote with smaller professional user base”</w:t>
      </w:r>
      <w:r>
        <w:t xml:space="preserve">; correct is</w:t>
      </w:r>
      <w:r>
        <w:t xml:space="preserve"> </w:t>
      </w:r>
      <w:r>
        <w:t xml:space="preserve">“VSR lockup-weighted vote design analogous to HNT”</w:t>
      </w:r>
      <w:r>
        <w:t xml:space="preserve"> </w:t>
      </w:r>
      <w:r>
        <w:t xml:space="preserve">per DRIFT memo line 125); mechanism story reframed around VSR-vs-delegated as primary within-Solana driver per DRIFT memo line 130; sister EC-2026-05-22-B2-F-B2-15-DRIFT-VSR-Classification-And-Within-Solana-Mechanism-Refinement filed. The audit-pass discipline established by these corrections (verify just-shipped findings via Pattern 27 Mode A within-cycle) is itself an internal methodology contribution.</w:t>
      </w:r>
    </w:p>
    <w:p>
      <w:pPr>
        <w:pStyle w:val="BodyText"/>
      </w:pPr>
      <w:r>
        <w:rPr>
          <w:i/>
          <w:iCs/>
        </w:rPr>
        <w:t xml:space="preserve">Tracked-changes readability fix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859ebb64</w:t>
      </w:r>
      <w:r>
        <w:t xml:space="preserve">). The previous tracked-changes generation wrapped EVERY text run in</w:t>
      </w:r>
      <w:r>
        <w:t xml:space="preserve"> </w:t>
      </w:r>
      <w:r>
        <w:rPr>
          <w:rStyle w:val="VerbatimChar"/>
        </w:rPr>
        <w:t xml:space="preserve">w:ins</w:t>
      </w:r>
      <w:r>
        <w:t xml:space="preserve"> </w:t>
      </w:r>
      <w:r>
        <w:t xml:space="preserve">markers (8,462 markers) which made the tracked-changes view unreadable: every paragraph appeared edited, even those merely split from R1 mega-paragraphs during the jargon-refinement / accessibility cycles. A new diff-aware generator (</w:t>
      </w:r>
      <w:r>
        <w:rPr>
          <w:rStyle w:val="VerbatimChar"/>
        </w:rPr>
        <w:t xml:space="preserve">tools/content-build/regenerate_tracked_changes_v3.py</w:t>
      </w:r>
      <w:r>
        <w:t xml:space="preserve">) performs paragraph-level token-set similarity matching between R1 baseline and R2 clean DOCX, wrapping</w:t>
      </w:r>
      <w:r>
        <w:t xml:space="preserve"> </w:t>
      </w:r>
      <w:r>
        <w:rPr>
          <w:rStyle w:val="VerbatimChar"/>
        </w:rPr>
        <w:t xml:space="preserve">w:r</w:t>
      </w:r>
      <w:r>
        <w:t xml:space="preserve"> </w:t>
      </w:r>
      <w:r>
        <w:t xml:space="preserve">elements ONLY in paragraphs with substantive content changes (Jaccard &gt;= 0.50 OR coverage &gt;= 0.70 → unchanged; otherwise wrap). Result: 8,462 to 3,613 markers (57% reduction); reviewers now see RED highlights only where actual R2 content was added or changed, not where R1 mega-paragraphs were split for readability. The 192 marked paragraphs capture the substantive R2 changes (new §3.5.4 / 3.5.4.1 / 3.5.5 subsections; §3.7 PCA-symmetric replacement; F-B2-9 reframe paragraphs; Table 7 N=13 expansion text; updated Figure captions; statistical-claim refresh prose; new JUP / HNT / DRIFT / VSR / signer-side-PCA vocabulary).</w:t>
      </w:r>
    </w:p>
    <w:p>
      <w:pPr>
        <w:pStyle w:val="BodyText"/>
      </w:pPr>
      <w:r>
        <w:rPr>
          <w:b/>
          <w:bCs/>
        </w:rPr>
        <w:t xml:space="preserve">Cycle 15 method-of-record discipline</w:t>
      </w:r>
      <w:r>
        <w:t xml:space="preserve">: single-canonical-regression-dataset-of-record discipline (Section 2.10.3) maintained throughout the multi-source extension; sibling clone</w:t>
      </w:r>
      <w:r>
        <w:t xml:space="preserve"> </w:t>
      </w:r>
      <w:r>
        <w:rPr>
          <w:rStyle w:val="VerbatimChar"/>
        </w:rPr>
        <w:t xml:space="preserve">regression_data_april2026.csv</w:t>
      </w:r>
      <w:r>
        <w:t xml:space="preserve"> </w:t>
      </w:r>
      <w:r>
        <w:t xml:space="preserve">remains the holding-HHI canonical; new</w:t>
      </w:r>
      <w:r>
        <w:t xml:space="preserve"> </w:t>
      </w:r>
      <w:r>
        <w:rPr>
          <w:rStyle w:val="VerbatimChar"/>
        </w:rPr>
        <w:t xml:space="preserve">exclusions_log_signer.csv</w:t>
      </w:r>
      <w:r>
        <w:t xml:space="preserve"> </w:t>
      </w:r>
      <w:r>
        <w:t xml:space="preserve">registered as sister canonical for signer-side voting-symmetric exclusion. All R2 headline findings preserved through Cycle 15: allocation null (Pearson r = 0.05, p = 0.76, N = 37); DePIN-DeFi sector contrast (Mann-Whitney p = 0.020, Cohen’s d = 0.94; LOO 30/30); subsidy disconnect (Livepeer outlier; r = 0.59 inclusive / r = 0.03 exclusive); predominant delegation amplification (now 9 of 13 amplify; 4 structural exceptions: ENS + GMX + HNT + JUP); cross-protocol institutional concentration emerging as candidate Fifth Concentration Axis (NEW F-B2-13).</w:t>
      </w:r>
    </w:p>
    <w:p>
      <w:pPr>
        <w:pStyle w:val="BodyText"/>
      </w:pPr>
      <w:r>
        <w:t xml:space="preserve">The submission package included with this letter (B2_Frontiers_R2_clean.docx + .pdf; B2_Frontiers_R2_tracked_changes.docx + .pdf) reflects manuscript state post-Cycle-15.</w:t>
      </w:r>
    </w:p>
    <w:bookmarkEnd w:id="15"/>
    <w:bookmarkStart w:id="16" w:name="acknowledgment"/>
    <w:p>
      <w:pPr>
        <w:pStyle w:val="Heading2"/>
      </w:pPr>
      <w:r>
        <w:t xml:space="preserve">Acknowledgment</w:t>
      </w:r>
    </w:p>
    <w:p>
      <w:pPr>
        <w:pStyle w:val="FirstParagraph"/>
      </w:pPr>
      <w:r>
        <w:t xml:space="preserve">We thank Reviewer 1 for the comprehensive cross-surface audit that identified the manuscript-vs-data-of-record drift and motivated the R2 reproduce-and-sync cycle, which in turn enabled the post-2026-05-17 deep-PCA-audit cycle to expand the Table 7 sample to N=10 and surface the ENS structural counterexample at 0.45x dispersion (Section 3.5.1). The predominant-amplification finding (with four structural exceptions ENS + GMX + HNT + JUP) documented in Section 3.5 is a direct product of Reviewer 1’s R2 framing, extended via the post-2026-05-17 deep-PCA-audit cycle (commit</w:t>
      </w:r>
      <w:r>
        <w:t xml:space="preserve"> </w:t>
      </w:r>
      <w:r>
        <w:rPr>
          <w:rStyle w:val="VerbatimChar"/>
        </w:rPr>
        <w:t xml:space="preserve">3a8c3065</w:t>
      </w:r>
      <w:r>
        <w:t xml:space="preserve">), the 2026-05-21 voting-HHI methodology refresh (commit</w:t>
      </w:r>
      <w:r>
        <w:t xml:space="preserve"> </w:t>
      </w:r>
      <w:r>
        <w:rPr>
          <w:rStyle w:val="VerbatimChar"/>
        </w:rPr>
        <w:t xml:space="preserve">99036422</w:t>
      </w:r>
      <w:r>
        <w:t xml:space="preserve"> </w:t>
      </w:r>
      <w:r>
        <w:t xml:space="preserve">per EC-2026-05-21-B2-Voting-HHI-Sampling-Methodology-Floor) which surfaced GMX as a 2nd structural-exception counterexample at expanded Tally top-1000 sampling depth, and the 2026-05-22 multi-source PCA-symmetric extension cycle (commit</w:t>
      </w:r>
      <w:r>
        <w:t xml:space="preserve"> </w:t>
      </w:r>
      <w:r>
        <w:rPr>
          <w:rStyle w:val="VerbatimChar"/>
        </w:rPr>
        <w:t xml:space="preserve">1751fd5c</w:t>
      </w:r>
      <w:r>
        <w:t xml:space="preserve">) which surfaced JUP as the most-extreme dispersion outlier (0.057x; Solana delegated-vote + broad airdrop user base mechanism) and HNT as a sensitivity-range dispersion case (0.35x-0.53x; Solana VSR lockup-weighted design) per the Section 3.5.4 within-Solana heterogeneity subsection. We thank Reviewer 2 for the endorsement of publication.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Zach Zukowski</w:t>
      </w:r>
      <w:r>
        <w:t xml:space="preserve"> </w:t>
      </w:r>
      <w:r>
        <w:t xml:space="preserve">Tokenization Systems</w:t>
      </w:r>
      <w:r>
        <w:t xml:space="preserve"> </w:t>
      </w:r>
      <w:r>
        <w:t xml:space="preserve">zach@tokenization.systems</w:t>
      </w:r>
      <w:r>
        <w:t xml:space="preserve"> </w:t>
      </w:r>
      <w:r>
        <w:t xml:space="preserve">ORCID: 0009-0006-3642-2450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2026-05-22T22:59:57Z</dcterms:created>
  <dcterms:modified xsi:type="dcterms:W3CDTF">2026-05-22T22:59:57Z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