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(DePIN), DeFi, infrastructure, and</w:t>
      </w:r>
      <w:r>
        <w:t xml:space="preserve"> </w:t>
      </w:r>
      <w:r>
        <w:t xml:space="preserve">social token categories documents that team and investor allocation at</w:t>
      </w:r>
      <w:r>
        <w:t xml:space="preserve"> </w:t>
      </w:r>
      <w:r>
        <w:t xml:space="preserve">launch is uninformative about post-distribution governance concentration</w:t>
      </w:r>
      <w:r>
        <w:t xml:space="preserve"> </w:t>
      </w:r>
      <w:r>
        <w:t xml:space="preserve">(Pearson r = 0.17, p = 0.32, N = 37): protocols with generous community</w:t>
      </w:r>
      <w:r>
        <w:t xml:space="preserve"> </w:t>
      </w:r>
      <w:r>
        <w:t xml:space="preserve">distributions exhibit concentration patterns similar to those with heavy</w:t>
      </w:r>
      <w:r>
        <w:t xml:space="preserve"> </w:t>
      </w:r>
      <w:r>
        <w:t xml:space="preserve">insider allocations. Hyperliquid (zero venture capital, 31% community</w:t>
      </w:r>
      <w:r>
        <w:t xml:space="preserve"> </w:t>
      </w:r>
      <w:r>
        <w:t xml:space="preserve">airdrop) shows the lowest DeFi-subsample Herfindahl-Hirschman Index</w:t>
      </w:r>
      <w:r>
        <w:t xml:space="preserve"> </w:t>
      </w:r>
      <w:r>
        <w:t xml:space="preserve">(HHI) of 0.005, but the broader null holds across allocation designs.</w:t>
      </w:r>
      <w:r>
        <w:t xml:space="preserve"> </w:t>
      </w:r>
      <w:r>
        <w:t xml:space="preserve">Evidence is consistent with post-distribution market dynamics shaping</w:t>
      </w:r>
      <w:r>
        <w:t xml:space="preserve"> </w:t>
      </w:r>
      <w:r>
        <w:t xml:space="preserve">concentration more than initial structural design.</w:t>
      </w:r>
    </w:p>
    <w:p>
      <w:pPr>
        <w:pStyle w:val="BodyText"/>
      </w:pPr>
      <w:r>
        <w:t xml:space="preserve">Four supporting findings sharpen the picture. First, protocols with more</w:t>
      </w:r>
      <w:r>
        <w:t xml:space="preserve"> </w:t>
      </w:r>
      <w:r>
        <w:t xml:space="preserve">insider wallets in their top-holder sets exhibit higher concentration</w:t>
      </w:r>
      <w:r>
        <w:t xml:space="preserve"> </w:t>
      </w:r>
      <w:r>
        <w:t xml:space="preserve">among non-insider holders (Spearman rho = 0.54, p = 0.001, N = 34):</w:t>
      </w:r>
      <w:r>
        <w:t xml:space="preserve"> </w:t>
      </w:r>
      <w:r>
        <w:t xml:space="preserve">insider-heavy protocols develop concentrated governance ecosystems, not</w:t>
      </w:r>
      <w:r>
        <w:t xml:space="preserve"> </w:t>
      </w:r>
      <w:r>
        <w:t xml:space="preserve">merely concentrated insider positions. Second, sector membership</w:t>
      </w:r>
      <w:r>
        <w:t xml:space="preserve"> </w:t>
      </w:r>
      <w:r>
        <w:t xml:space="preserve">predicts concentration: DePIN exceeds DeFi (Mann-Whitney p = 0.016,</w:t>
      </w:r>
      <w:r>
        <w:t xml:space="preserve"> </w:t>
      </w:r>
      <w:r>
        <w:t xml:space="preserve">Cohen’s d = 1.10), and the effect survives across three nested OLS</w:t>
      </w:r>
      <w:r>
        <w:t xml:space="preserve"> </w:t>
      </w:r>
      <w:r>
        <w:t xml:space="preserve">specifications adding protocol age, log fully diluted valuation (FDV),</w:t>
      </w:r>
      <w:r>
        <w:t xml:space="preserve"> </w:t>
      </w:r>
      <w:r>
        <w:t xml:space="preserve">and initial insider allocation as successive controls (sector</w:t>
      </w:r>
      <w:r>
        <w:t xml:space="preserve"> </w:t>
      </w:r>
      <w:r>
        <w:t xml:space="preserve">coefficient p &lt; 0.05 in Models 1 and 2, borderline at p = 0.050 in</w:t>
      </w:r>
      <w:r>
        <w:t xml:space="preserve"> </w:t>
      </w:r>
      <w:r>
        <w:t xml:space="preserve">Model 3 with the full control set; adjusted R² 0.14 to 0.17; Table 6).</w:t>
      </w:r>
      <w:r>
        <w:t xml:space="preserve"> </w:t>
      </w:r>
      <w:r>
        <w:t xml:space="preserve">Third, on-chain subsidy intensity correlates with concentration in</w:t>
      </w:r>
      <w:r>
        <w:t xml:space="preserve"> </w:t>
      </w:r>
      <w:r>
        <w:t xml:space="preserve">levels (r = 0.57, p = 0.008, N = 20) but entirely through Livepeer</w:t>
      </w:r>
      <w:r>
        <w:t xml:space="preserve"> </w:t>
      </w:r>
      <w:r>
        <w:t xml:space="preserve">(88.5x subsidy); excluding Livepeer yields r = 0.11, p = 0.65. Fourth,</w:t>
      </w:r>
      <w:r>
        <w:t xml:space="preserve"> </w:t>
      </w:r>
      <w:r>
        <w:t xml:space="preserve">delegation concentrates governance power above the level measured from</w:t>
      </w:r>
      <w:r>
        <w:t xml:space="preserve"> </w:t>
      </w:r>
      <w:r>
        <w:t xml:space="preserve">token holdings in nine of ten protocols sampled (voting-power HHI</w:t>
      </w:r>
      <w:r>
        <w:t xml:space="preserve"> </w:t>
      </w:r>
      <w:r>
        <w:t xml:space="preserve">exceeds holding HHI by factors of 1.4x to 6.0x),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holders systematically delegate to a broad community-delegate set).</w:t>
      </w:r>
      <w:r>
        <w:t xml:space="preserve"> </w:t>
      </w:r>
      <w:r>
        <w:t xml:space="preserve">Two further vote-escrowed protocols (Curve and Balancer) show extreme</w:t>
      </w:r>
      <w:r>
        <w:t xml:space="preserve"> </w:t>
      </w:r>
      <w:r>
        <w:t xml:space="preserve">amplification (15x and 21x) under ve-token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non-ve-token sample is not predicted by sector or governance venue</w:t>
      </w:r>
      <w:r>
        <w:t xml:space="preserve"> </w:t>
      </w:r>
      <w:r>
        <w:t xml:space="preserve">(Tally on-chain versus Snapshot off-chain), consistent with</w:t>
      </w:r>
      <w:r>
        <w:t xml:space="preserve"> </w:t>
      </w:r>
      <w:r>
        <w:t xml:space="preserve">institutional design at the delegate-program level governing both the</w:t>
      </w:r>
      <w:r>
        <w:t xml:space="preserve"> </w:t>
      </w:r>
      <w:r>
        <w:t xml:space="preserve">direction and magnitude of delegation’s 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(Gini, dispersion across all holders) and governance concentration (HHI,</w:t>
      </w:r>
      <w:r>
        <w:t xml:space="preserve"> </w:t>
      </w:r>
      <w:r>
        <w:t xml:space="preserve">sum of squared top-holder shares) capture distinct properties of the</w:t>
      </w:r>
      <w:r>
        <w:t xml:space="preserve"> </w:t>
      </w:r>
      <w:r>
        <w:t xml:space="preserve">same holder set. Inequality is severe in every protocol (Gini 0.52 to</w:t>
      </w:r>
      <w:r>
        <w:t xml:space="preserve"> </w:t>
      </w:r>
      <w:r>
        <w:t xml:space="preserve">0.99), while concentration varies across two orders of magnitude (HHI</w:t>
      </w:r>
      <w:r>
        <w:t xml:space="preserve"> </w:t>
      </w:r>
      <w:r>
        <w:t xml:space="preserve">0.005 to 0.199); the moderate correlation (r = 0.51) confirms that</w:t>
      </w:r>
      <w:r>
        <w:t xml:space="preserve"> </w:t>
      </w:r>
      <w:r>
        <w:t xml:space="preserve">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Three protocols with near-identical subsidy ratios exhibit governance</w:t>
      </w:r>
      <w:r>
        <w:t xml:space="preserve"> </w:t>
      </w:r>
      <w:r>
        <w:t xml:space="preserve">HHI spanning 0.020 to 0.153: financial sustainability is neither</w:t>
      </w:r>
      <w:r>
        <w:t xml:space="preserve"> </w:t>
      </w:r>
      <w:r>
        <w:t xml:space="preserve">necessary nor sufficient for governance decentralization (Section 3.4).</w:t>
      </w:r>
      <w:r>
        <w:t xml:space="preserve"> </w:t>
      </w:r>
      <w:r>
        <w:t xml:space="preserve">Governance concentration is a secondary market outcome, shaped by</w:t>
      </w:r>
      <w:r>
        <w:t xml:space="preserve"> </w:t>
      </w:r>
      <w:r>
        <w:t xml:space="preserve">post-distribution trading and accumulation dynamics that neither</w:t>
      </w:r>
      <w:r>
        <w:t xml:space="preserve"> </w:t>
      </w:r>
      <w:r>
        <w:t xml:space="preserve">allocation design nor protocol 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69</w:t>
      </w:r>
      <w:r>
        <w:t xml:space="preserve"> </w:t>
      </w:r>
      <w:r>
        <w:t xml:space="preserve">protocol-controlled addresses (staking contracts, exchange custodians,</w:t>
      </w:r>
      <w:r>
        <w:t xml:space="preserve"> </w:t>
      </w:r>
      <w:r>
        <w:t xml:space="preserve">vesting locks, and protocol treasuries) from HHI computation, and test</w:t>
      </w:r>
      <w:r>
        <w:t xml:space="preserve"> </w:t>
      </w:r>
      <w:r>
        <w:t xml:space="preserve">every available cross-sectional predictor of concentration using both</w:t>
      </w:r>
      <w:r>
        <w:t xml:space="preserve"> </w:t>
      </w:r>
      <w:r>
        <w:t xml:space="preserve">parametric and 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20 protocols, 69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0.016, Cohen’s d = 1.03),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1.4x (GMX), 1.9x</w:t>
      </w:r>
      <w:r>
        <w:t xml:space="preserve"> </w:t>
      </w:r>
      <w:r>
        <w:t xml:space="preserve">(Compound), 2.3x (Lido), 2.7x (Uniswap), 3.3x (WeatherXM), 3.7x</w:t>
      </w:r>
      <w:r>
        <w:t xml:space="preserve"> </w:t>
      </w:r>
      <w:r>
        <w:t xml:space="preserve">(Optimism), 3.8x (Aave), 4.3x (Arbitrum), and 6.0x (DIMO). One protocol</w:t>
      </w:r>
      <w:r>
        <w:t xml:space="preserve"> </w:t>
      </w:r>
      <w:r>
        <w:t xml:space="preserve">(ENS) shows delegation-mediated dispersion at ratio 0.21x,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The two protocols previously cited as</w:t>
      </w:r>
      <w:r>
        <w:t xml:space="preserve"> </w:t>
      </w:r>
      <w:r>
        <w:t xml:space="preserve">showing dispersion (Uniswap, Optimism) do so only when holding HHI is</w:t>
      </w:r>
      <w:r>
        <w:t xml:space="preserve"> </w:t>
      </w:r>
      <w:r>
        <w:t xml:space="preserve">measured without excluding addresses that cannot vote, such as burn</w:t>
      </w:r>
      <w:r>
        <w:t xml:space="preserve"> </w:t>
      </w:r>
      <w:r>
        <w:t xml:space="preserve">wallets and foundation treasuries; once those exclusions are applied</w:t>
      </w:r>
      <w:r>
        <w:t xml:space="preserve"> </w:t>
      </w:r>
      <w:r>
        <w:t xml:space="preserve">consistently with Table 4, both protocols join the amplification</w:t>
      </w:r>
      <w:r>
        <w:t xml:space="preserve"> </w:t>
      </w:r>
      <w:r>
        <w:t xml:space="preserve">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secure)</w:t>
      </w:r>
      <w:r>
        <w:t xml:space="preserve"> </w:t>
      </w:r>
      <w:r>
        <w:t xml:space="preserve">from the operational mechanism Layer 2 (what is observable in protocol</w:t>
      </w:r>
      <w:r>
        <w:t xml:space="preserve"> </w:t>
      </w:r>
      <w:r>
        <w:t xml:space="preserve">design and scored in Table 1).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(burn destinations;</w:t>
      </w:r>
      <w:r>
        <w:t xml:space="preserve"> </w:t>
      </w:r>
      <w:r>
        <w:t xml:space="preserve">foundation and treasury custody; staking-aggregation contracts; bridge</w:t>
      </w:r>
      <w:r>
        <w:t xml:space="preserve"> </w:t>
      </w:r>
      <w:r>
        <w:t xml:space="preserve">custody and migration addresses), supporting uniform replication and</w:t>
      </w:r>
      <w:r>
        <w:t xml:space="preserve"> </w:t>
      </w:r>
      <w:r>
        <w:t xml:space="preserve">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limitations"/>
    <w:p>
      <w:pPr>
        <w:pStyle w:val="Heading3"/>
      </w:pPr>
      <w:r>
        <w:t xml:space="preserve">1.4.3 Limitations</w:t>
      </w:r>
    </w:p>
    <w:p>
      <w:pPr>
        <w:pStyle w:val="FirstParagraph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mining, staking rewards (Schär, 2021), and</w:t>
      </w:r>
      <w:r>
        <w:t xml:space="preserve"> </w:t>
      </w:r>
      <w:r>
        <w:t xml:space="preserve">user rebates, designed to bootstrap two-sided markets. A key controversy</w:t>
      </w:r>
      <w:r>
        <w:t xml:space="preserve"> </w:t>
      </w:r>
      <w:r>
        <w:t xml:space="preserve">is whether these incentives generate durable adoption or merely</w:t>
      </w:r>
      <w:r>
        <w:t xml:space="preserve"> </w:t>
      </w:r>
      <w:r>
        <w:t xml:space="preserve">transient participation 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A major challenge is that</w:t>
      </w:r>
      <w:r>
        <w:t xml:space="preserve"> </w:t>
      </w:r>
      <w:r>
        <w:t xml:space="preserve">token-based governance can produce concentrated influence (Barbereau et</w:t>
      </w:r>
      <w:r>
        <w:t xml:space="preserve"> </w:t>
      </w:r>
      <w:r>
        <w:t xml:space="preserve">al., 2023) -</w:t>
      </w:r>
      <w:r>
        <w:t xml:space="preserve"> </w:t>
      </w:r>
      <w:r>
        <w:t xml:space="preserve">“whales,”</w:t>
      </w:r>
      <w:r>
        <w:t xml:space="preserve"> </w:t>
      </w:r>
      <w:r>
        <w:t xml:space="preserve">delegates, or insiders, leading to outcomes that</w:t>
      </w:r>
      <w:r>
        <w:t xml:space="preserve"> </w:t>
      </w:r>
      <w:r>
        <w:t xml:space="preserve">are 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0.040)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 and that coercion (slashing,</w:t>
      </w:r>
      <w:r>
        <w:t xml:space="preserve"> </w:t>
      </w:r>
      <w:r>
        <w:t xml:space="preserve">bans, parameter changes) is legitimate only when grounded in transparent</w:t>
      </w:r>
      <w:r>
        <w:t xml:space="preserve"> </w:t>
      </w:r>
      <w:r>
        <w:t xml:space="preserve">and non-arbitrary rules. Republican freedom as non-domination (Pettit</w:t>
      </w:r>
      <w:r>
        <w:t xml:space="preserve"> </w:t>
      </w:r>
      <w:r>
        <w:t xml:space="preserve">1997, building on Skinner’s 1998 historical recovery of the neo-Roman</w:t>
      </w:r>
      <w:r>
        <w:t xml:space="preserve"> </w:t>
      </w:r>
      <w:r>
        <w:t xml:space="preserve">tradition; Stanford Encyclopedia of Philosophy 2025) reframes</w:t>
      </w:r>
      <w:r>
        <w:t xml:space="preserve"> </w:t>
      </w:r>
      <w:r>
        <w:t xml:space="preserve">legitimacy as protection against arbitrary power rather than mere</w:t>
      </w:r>
      <w:r>
        <w:t xml:space="preserve"> </w:t>
      </w:r>
      <w:r>
        <w:t xml:space="preserve">non-interference.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126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futarchy). The expanded 40-protocol sample was constructed by adding</w:t>
      </w:r>
      <w:r>
        <w:t xml:space="preserve"> </w:t>
      </w:r>
      <w:r>
        <w:t xml:space="preserve">protocols from the Dune Analytics ecosystem that met three criteria: (i)</w:t>
      </w:r>
      <w:r>
        <w:t xml:space="preserve"> </w:t>
      </w:r>
      <w:r>
        <w:t xml:space="preserve">publicly traded governance token, (ii) holder data queryable via Dune or</w:t>
      </w:r>
      <w:r>
        <w:t xml:space="preserve"> </w:t>
      </w:r>
      <w:r>
        <w:t xml:space="preserve">Helius DAS API, and (iii) at least 50 non-zero-balance holders after</w:t>
      </w:r>
      <w:r>
        <w:t xml:space="preserve"> </w:t>
      </w:r>
      <w:r>
        <w:t xml:space="preserve">protocol-controlled address exclusion. MetaDAO is included as the sole</w:t>
      </w:r>
      <w:r>
        <w:t xml:space="preserve"> </w:t>
      </w:r>
      <w:r>
        <w:t xml:space="preserve">futarchy-governance protocol in the sample. Solana-native tokens (META,</w:t>
      </w:r>
      <w:r>
        <w:t xml:space="preserve"> </w:t>
      </w:r>
      <w:r>
        <w:t xml:space="preserve">DRIFT, GRASS, W) required a separate data collection pipeline (Helius</w:t>
      </w:r>
      <w:r>
        <w:t xml:space="preserve"> </w:t>
      </w:r>
      <w:r>
        <w:t xml:space="preserve">DAS API) because the primary indexer undercounted holders by two orders</w:t>
      </w:r>
      <w:r>
        <w:t xml:space="preserve"> </w:t>
      </w:r>
      <w:r>
        <w:t xml:space="preserve">of 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0.040;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0.032, Grass 0.035, DIMO</w:t>
      </w:r>
      <w:r>
        <w:t xml:space="preserve"> </w:t>
      </w:r>
      <w:r>
        <w:t xml:space="preserve">0.038, Anyone 0.040, Filecoin 0.047)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Subsequent Tally and Snapshot</w:t>
      </w:r>
      <w:r>
        <w:t xml:space="preserve"> </w:t>
      </w:r>
      <w:r>
        <w:t xml:space="preserve">API queries during the R2 revision cycle (May 2026) confirmed that</w:t>
      </w:r>
      <w:r>
        <w:t xml:space="preserve"> </w:t>
      </w:r>
      <w:r>
        <w:t xml:space="preserve">voting-power distributions can drift materially over multi-month</w:t>
      </w:r>
      <w:r>
        <w:t xml:space="preserve"> </w:t>
      </w:r>
      <w:r>
        <w:t xml:space="preserve">windows: a fresh Compound Tally pull in May 2026 returned roughly 120</w:t>
      </w:r>
      <w:r>
        <w:t xml:space="preserve"> </w:t>
      </w:r>
      <w:r>
        <w:t xml:space="preserve">delegates with non-zero voting power, compared with the 100-delegate</w:t>
      </w:r>
      <w:r>
        <w:t xml:space="preserve"> </w:t>
      </w:r>
      <w:r>
        <w:t xml:space="preserve">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(TGE), defined as team_pct +</w:t>
      </w:r>
      <w:r>
        <w:t xml:space="preserve"> </w:t>
      </w:r>
      <w:r>
        <w:t xml:space="preserve">investor_pct from primary tokenomics sources. Insider count fraction in</w:t>
      </w:r>
      <w:r>
        <w:t xml:space="preserve"> </w:t>
      </w:r>
      <w:r>
        <w:t xml:space="preserve">top-10 holders is a descriptive mechanism variable measured</w:t>
      </w:r>
      <w:r>
        <w:t xml:space="preserve"> </w:t>
      </w:r>
      <w:r>
        <w:t xml:space="preserve">post-distribution from holder snapshots, defined as the post-exclusion</w:t>
      </w:r>
      <w:r>
        <w:t xml:space="preserve"> </w:t>
      </w:r>
      <w:r>
        <w:t xml:space="preserve">fraction of wallets in the top-10 classified as insider via a three-tier</w:t>
      </w:r>
      <w:r>
        <w:t xml:space="preserve"> </w:t>
      </w:r>
      <w:r>
        <w:t xml:space="preserve">procedure: Tier 1 uses Blockscout verified-contract labels and Dune</w:t>
      </w:r>
      <w:r>
        <w:t xml:space="preserve"> </w:t>
      </w:r>
      <w:r>
        <w:t xml:space="preserve">exchange tags; Tier 2 uses contract bytecode matching for SafeProxy,</w:t>
      </w:r>
      <w:r>
        <w:t xml:space="preserve"> </w:t>
      </w:r>
      <w:r>
        <w:t xml:space="preserve">GnosisSafe, and vesting contracts; Tier 3 uses Etherscan named-address</w:t>
      </w:r>
      <w:r>
        <w:t xml:space="preserve"> </w:t>
      </w:r>
      <w:r>
        <w:t xml:space="preserve">matching against documented foundation, treasury, and 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(113 addresses across 38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(0.040);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(3.7x).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3.7x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or SPL token holders should apply the five PCA classes</w:t>
      </w:r>
      <w:r>
        <w:t xml:space="preserve"> </w:t>
      </w:r>
      <w:r>
        <w:t xml:space="preserve">documented below before computing 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126 PCA addresses across</w:t>
      </w:r>
      <w:r>
        <w:t xml:space="preserve"> </w:t>
      </w:r>
      <w:r>
        <w:t xml:space="preserve">22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08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2.10).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rules, delegation</w:t>
      </w:r>
      <w:r>
        <w:t xml:space="preserve"> </w:t>
      </w:r>
      <w:r>
        <w:t xml:space="preserve">patterns, or proposal-rights 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75</w:t>
      </w:r>
      <w:r>
        <w:t xml:space="preserve"> </w:t>
      </w:r>
      <w:r>
        <w:t xml:space="preserve">protocol-controlled addresses across 38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86 protocol-controlled addresses excluded across 38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 (ATH)</w:t>
      </w:r>
      <w:r>
        <w:rPr>
          <w:i/>
          <w:iCs/>
        </w:rPr>
        <w:t xml:space="preserve"> </w:t>
      </w:r>
      <w:r>
        <w:rPr>
          <w:i/>
          <w:iCs/>
        </w:rPr>
        <w:t xml:space="preserve">appear as full Table 4 rows above following supplementary</w:t>
      </w:r>
      <w:r>
        <w:rPr>
          <w:i/>
          <w:iCs/>
        </w:rPr>
        <w:t xml:space="preserve"> </w:t>
      </w:r>
      <w:r>
        <w:rPr>
          <w:i/>
          <w:iCs/>
        </w:rPr>
        <w:t xml:space="preserve">holder-list collection in the R2 cycle: Hivemapper and io.net via</w:t>
      </w:r>
      <w:r>
        <w:rPr>
          <w:i/>
          <w:iCs/>
        </w:rPr>
        <w:t xml:space="preserve"> </w:t>
      </w:r>
      <w:r>
        <w:rPr>
          <w:i/>
          <w:iCs/>
        </w:rPr>
        <w:t xml:space="preserve">Helius DAS API (90,680 HONEY holders; 84,861 IO holders); Aethir via</w:t>
      </w:r>
      <w:r>
        <w:rPr>
          <w:i/>
          <w:iCs/>
        </w:rPr>
        <w:t xml:space="preserve"> </w:t>
      </w:r>
      <w:r>
        <w:rPr>
          <w:i/>
          <w:iCs/>
        </w:rPr>
        <w:t xml:space="preserve">Dune erc20_ethereum.evt_transfer net-balance aggregation (1,000</w:t>
      </w:r>
      <w:r>
        <w:rPr>
          <w:i/>
          <w:iCs/>
        </w:rPr>
        <w:t xml:space="preserve"> </w:t>
      </w:r>
      <w:r>
        <w:rPr>
          <w:i/>
          <w:iCs/>
        </w:rPr>
        <w:t xml:space="preserve">holders pulled). All three were footnote-only in the R1 submission</w:t>
      </w:r>
      <w:r>
        <w:rPr>
          <w:i/>
          <w:iCs/>
        </w:rPr>
        <w:t xml:space="preserve"> </w:t>
      </w:r>
      <w:r>
        <w:rPr>
          <w:i/>
          <w:iCs/>
        </w:rPr>
        <w:t xml:space="preserve">because the original Dune holder-list extraction did not include them.</w:t>
      </w:r>
      <w:r>
        <w:rPr>
          <w:i/>
          <w:iCs/>
        </w:rPr>
        <w:t xml:space="preserve"> </w:t>
      </w:r>
      <w:r>
        <w:rPr>
          <w:i/>
          <w:iCs/>
        </w:rPr>
        <w:t xml:space="preserve">The Aethir HHI (0.153) reported here reflects the May 2026 Dune pull</w:t>
      </w:r>
      <w:r>
        <w:rPr>
          <w:i/>
          <w:iCs/>
        </w:rPr>
        <w:t xml:space="preserve"> </w:t>
      </w:r>
      <w:r>
        <w:rPr>
          <w:i/>
          <w:iCs/>
        </w:rPr>
        <w:t xml:space="preserve">and is slightly below the R1 footnote value of 0.168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cascade snapshot); the 2-month snapshot drift is consistent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Tally and Snapshot drift documented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48%, Yearn 14%, Stake DAO 9%, with the</w:t>
      </w:r>
      <w:r>
        <w:t xml:space="preserve"> </w:t>
      </w:r>
      <w:r>
        <w:t xml:space="preserve">remaining top-50 lockers each at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Uniswap (0.010)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roughly twice the governance concentration of DeFi</w:t>
      </w:r>
      <w:r>
        <w:t xml:space="preserve"> </w:t>
      </w:r>
      <w:r>
        <w:t xml:space="preserve">protocols (mean HHI 0.085 vs. 0.031; Mann-Whitney p = 0.016, Cohen’s d =</w:t>
      </w:r>
      <w:r>
        <w:t xml:space="preserve"> </w:t>
      </w:r>
      <w:r>
        <w:t xml:space="preserve">1.03, N = 15/15). The gap holds after adjusting for protocol age,</w:t>
      </w:r>
      <w:r>
        <w:t xml:space="preserve"> </w:t>
      </w:r>
      <w:r>
        <w:t xml:space="preserve">valuation, and insider allocation (Table 6, Models 1-3).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iterations, and a</w:t>
      </w:r>
      <w:r>
        <w:t xml:space="preserve"> </w:t>
      </w:r>
      <w:r>
        <w:t xml:space="preserve">permutation test yields p = 0.004.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(0.091) exceeds DeFi mean (0.041),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0.016, d = 1.10)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0.035, N=8): Welch t-test p = 0.016,</w:t>
      </w:r>
      <w:r>
        <w:t xml:space="preserve"> </w:t>
      </w:r>
      <w:r>
        <w:t xml:space="preserve">Cohen’s d = 1.09; Mann-Whitney p = 0.005.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0.027) and MakerDAO (2017, HHI 0.045) are older than</w:t>
      </w:r>
      <w:r>
        <w:t xml:space="preserve"> </w:t>
      </w:r>
      <w:r>
        <w:t xml:space="preserve">DIMO (2022, HHI 0.038)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0.020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0.17, p = 0.32,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0.17, p = 0.32)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(Uniswap at 0.010 is the second-lowest after the universal</w:t>
      </w:r>
      <w:r>
        <w:t xml:space="preserve"> </w:t>
      </w:r>
      <w:r>
        <w:t xml:space="preserve">burn-rule exclusion, and Aave at 0.020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0.038, 0.153, and 0.020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0.048, p = 0.012, N = 38; Model</w:t>
      </w:r>
      <w:r>
        <w:t xml:space="preserve"> </w:t>
      </w:r>
      <w:r>
        <w:t xml:space="preserve">2: 0.050, p = 0.027, N = 36) and borderline significant in Model 3</w:t>
      </w:r>
      <w:r>
        <w:t xml:space="preserve"> </w:t>
      </w:r>
      <w:r>
        <w:t xml:space="preserve">(0.048, p = 0.050, N = 35). No other covariate achieves p &lt; 0.10. In</w:t>
      </w:r>
      <w:r>
        <w:t xml:space="preserve"> </w:t>
      </w:r>
      <w:r>
        <w:t xml:space="preserve">particular, the initial insider allocation percentage used as a Table 6</w:t>
      </w:r>
      <w:r>
        <w:t xml:space="preserve"> </w:t>
      </w:r>
      <w:r>
        <w:t xml:space="preserve">covariate is not significant, consistent with the bivariate null in</w:t>
      </w:r>
      <w:r>
        <w:t xml:space="preserve"> </w:t>
      </w:r>
      <w:r>
        <w:t xml:space="preserve">Table 5. This is distinct from the current insider-retention measure</w:t>
      </w:r>
      <w:r>
        <w:t xml:space="preserve"> </w:t>
      </w:r>
      <w:r>
        <w:t xml:space="preserve">reported in Section 3.4 (Spearman rho = 0.48), which counts how many of</w:t>
      </w:r>
      <w:r>
        <w:t xml:space="preserve"> </w:t>
      </w:r>
      <w:r>
        <w:t xml:space="preserve">a protocol's top-10 holders are insiders rather than measuring the</w:t>
      </w:r>
      <w:r>
        <w:t xml:space="preserve"> </w:t>
      </w:r>
      <w:r>
        <w:t xml:space="preserve">share of supply allocated to insiders at launch. The adjusted R-squared</w:t>
      </w:r>
      <w:r>
        <w:t xml:space="preserve"> </w:t>
      </w:r>
      <w:r>
        <w:t xml:space="preserve">ranges from 0.14 to 0.17, indicating that sector membership accounts for</w:t>
      </w:r>
      <w:r>
        <w:t xml:space="preserve"> </w:t>
      </w:r>
      <w:r>
        <w:t xml:space="preserve">more cross-sectional variation than protocol age, valuation, or</w:t>
      </w:r>
      <w:r>
        <w:t xml:space="preserve"> </w:t>
      </w:r>
      <w:r>
        <w:t xml:space="preserve">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(HC3) in parentheses. * p &lt; 0.10, ** p &lt;</w:t>
      </w:r>
      <w:r>
        <w:rPr>
          <w:i/>
          <w:iCs/>
        </w:rPr>
        <w:t xml:space="preserve"> </w:t>
      </w:r>
      <w:r>
        <w:rPr>
          <w:i/>
          <w:iCs/>
        </w:rPr>
        <w:t xml:space="preserve">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DePIN governance concentration 3 to 6 times above</w:t>
      </w:r>
      <w:r>
        <w:t xml:space="preserve"> </w:t>
      </w:r>
      <w:r>
        <w:t xml:space="preserve">holding levels, while the two infrastructure protocols sampled show</w:t>
      </w:r>
      <w:r>
        <w:t xml:space="preserve"> </w:t>
      </w:r>
      <w:r>
        <w:t xml:space="preserve">opposite patterns (Table 7), with one protocol’s delegation marginally</w:t>
      </w:r>
      <w:r>
        <w:t xml:space="preserve"> </w:t>
      </w:r>
      <w:r>
        <w:t xml:space="preserve">distributing voting power and the other’s substantially concentrating</w:t>
      </w:r>
      <w:r>
        <w:t xml:space="preserve"> </w:t>
      </w:r>
      <w:r>
        <w:t xml:space="preserve">it.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 in the Tier B1 expansion,</w:t>
      </w:r>
      <w:r>
        <w:t xml:space="preserve"> </w:t>
      </w:r>
      <w:r>
        <w:t xml:space="preserve">yielding 10 protocols with sufficient governance activity in the 12</w:t>
      </w:r>
      <w:r>
        <w:t xml:space="preserve"> </w:t>
      </w:r>
      <w:r>
        <w:t xml:space="preserve">months preceding the 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0.21x),</w:t>
      </w:r>
      <w:r>
        <w:t xml:space="preserve"> </w:t>
      </w:r>
      <w:r>
        <w:t xml:space="preserve">with amplification ratios ranging from 1.4x (GMX) to 6.0x (DIMO). The</w:t>
      </w:r>
      <w:r>
        <w:t xml:space="preserve"> </w:t>
      </w:r>
      <w:r>
        <w:t xml:space="preserve">amplification range within DeFi spans 1.9x (Compound) to 3.8x (Aave);</w:t>
      </w:r>
      <w:r>
        <w:t xml:space="preserve"> </w:t>
      </w:r>
      <w:r>
        <w:t xml:space="preserve">DePIN spans 2.3x (Lido, also classified DeFi by some taxonomies) to</w:t>
      </w:r>
      <w:r>
        <w:t xml:space="preserve"> </w:t>
      </w:r>
      <w:r>
        <w:t xml:space="preserve">6.0x (DIMO); infrastructure spans 3.7x (Optimism) to 4.3x (Arbitrum).</w:t>
      </w:r>
      <w:r>
        <w:t xml:space="preserve"> </w:t>
      </w:r>
      <w:r>
        <w:t xml:space="preserve">Sector membership does not predict how strongly delegation concentrates</w:t>
      </w:r>
      <w:r>
        <w:t xml:space="preserve"> </w:t>
      </w:r>
      <w:r>
        <w:t xml:space="preserve">power. Institutional design within each delegate program does. DIMO’s</w:t>
      </w:r>
      <w:r>
        <w:t xml:space="preserve"> </w:t>
      </w:r>
      <w:r>
        <w:t xml:space="preserve">voting HHI (0.228) is 6.0 times its holding HHI (0.038), though this</w:t>
      </w:r>
      <w:r>
        <w:t xml:space="preserve"> </w:t>
      </w:r>
      <w:r>
        <w:t xml:space="preserve">ratio is based on only 10 Snapshot voters and should be interpreted</w:t>
      </w:r>
      <w:r>
        <w:t xml:space="preserve"> </w:t>
      </w:r>
      <w:r>
        <w:t xml:space="preserve">with caution, and WeatherXM’s (0.486) is 3.3 times its holding HHI</w:t>
      </w:r>
      <w:r>
        <w:t xml:space="preserve"> </w:t>
      </w:r>
      <w:r>
        <w:t xml:space="preserve">(0.148). A small number of delegates, likely foundation-affiliated or</w:t>
      </w:r>
      <w:r>
        <w:t xml:space="preserve"> </w:t>
      </w:r>
      <w:r>
        <w:t xml:space="preserve">early-investor wallets, control governance outcomes despite relatively</w:t>
      </w:r>
      <w:r>
        <w:t xml:space="preserve"> </w:t>
      </w:r>
      <w:r>
        <w:t xml:space="preserve">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four DeFi protocols sampled show delegation amplification, ranging</w:t>
      </w:r>
      <w:r>
        <w:t xml:space="preserve"> </w:t>
      </w:r>
      <w:r>
        <w:t xml:space="preserve">from Compound (1.9x), Lido (2.3x), and Uniswap (2.7x) at the lower end</w:t>
      </w:r>
      <w:r>
        <w:t xml:space="preserve"> </w:t>
      </w:r>
      <w:r>
        <w:t xml:space="preserve">to Aave (3.8x) at the higher end. The Uniswap result is worth</w:t>
      </w:r>
      <w:r>
        <w:t xml:space="preserve"> </w:t>
      </w:r>
      <w:r>
        <w:t xml:space="preserve">examining in detail. Earlier analyses, using a holding HHI of 0.032,</w:t>
      </w:r>
      <w:r>
        <w:t xml:space="preserve"> </w:t>
      </w:r>
      <w:r>
        <w:t xml:space="preserve">produced a voting/holding ratio of 0.84x and were cited as evidence</w:t>
      </w:r>
      <w:r>
        <w:t xml:space="preserve"> </w:t>
      </w:r>
      <w:r>
        <w:t xml:space="preserve">that Uniswap’s mature delegate ecosystem can disperse governance power.</w:t>
      </w:r>
      <w:r>
        <w:t xml:space="preserve"> </w:t>
      </w:r>
      <w:r>
        <w:t xml:space="preserve">That earlier HHI included the canonical UNI burn address</w:t>
      </w:r>
      <w:r>
        <w:t xml:space="preserve"> </w:t>
      </w:r>
      <w:r>
        <w:t xml:space="preserve">(0x000…000dead), which holds 102.5 million UNI (11.3 percent of</w:t>
      </w:r>
      <w:r>
        <w:t xml:space="preserve"> </w:t>
      </w:r>
      <w:r>
        <w:t xml:space="preserve">supply) inert and cannot participate in governance under any condition:</w:t>
      </w:r>
      <w:r>
        <w:t xml:space="preserve"> </w:t>
      </w:r>
      <w:r>
        <w:t xml:space="preserve">it has no delegate, no votes, and no path to ever cast one. After</w:t>
      </w:r>
      <w:r>
        <w:t xml:space="preserve"> </w:t>
      </w:r>
      <w:r>
        <w:t xml:space="preserve">excluding this burn address, the corrected holding HHI is 0.010, and</w:t>
      </w:r>
      <w:r>
        <w:t xml:space="preserve"> </w:t>
      </w:r>
      <w:r>
        <w:t xml:space="preserve">the voting/holding ratio is 2.7x.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3.7 times its corrected</w:t>
      </w:r>
      <w:r>
        <w:t xml:space="preserve"> </w:t>
      </w:r>
      <w:r>
        <w:t xml:space="preserve">holding HHI (0.009). Arbitrum’s voting HHI (0.052) is 4.3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3.7x to 4.3x range, which</w:t>
      </w:r>
      <w:r>
        <w:t xml:space="preserve"> </w:t>
      </w:r>
      <w:r>
        <w:t xml:space="preserve">brackets the cross-protocol mean (3.3x).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3.7x delegation amplification, in line</w:t>
      </w:r>
      <w:r>
        <w:t xml:space="preserve"> </w:t>
      </w:r>
      <w:r>
        <w:t xml:space="preserve">with the cross-protocol pattern.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2.3x amplification, although mid-range rather than headline,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larger amplification ratio measured from a curated active-governance</w:t>
      </w:r>
      <w:r>
        <w:t xml:space="preserve"> </w:t>
      </w:r>
      <w:r>
        <w:t xml:space="preserve">holder subset (N = 189; minimum balance threshold approximately 414K</w:t>
      </w:r>
      <w:r>
        <w:t xml:space="preserve"> </w:t>
      </w:r>
      <w:r>
        <w:t xml:space="preserve">LDO); under the universal top-1000 holder methodology applied in this</w:t>
      </w:r>
      <w:r>
        <w:t xml:space="preserve"> </w:t>
      </w:r>
      <w:r>
        <w:t xml:space="preserve">manuscript (N = 994), Lido’s amplification is more moderate, but the</w:t>
      </w:r>
      <w:r>
        <w:t xml:space="preserve"> </w:t>
      </w:r>
      <w:r>
        <w:t xml:space="preserve">direction (concentration above stake) holds.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1.4x (GMX)</w:t>
      </w:r>
      <w:r>
        <w:t xml:space="preserve"> </w:t>
      </w:r>
      <w:r>
        <w:t xml:space="preserve">to 6.0x (DIMO) across the nine amplifying protocols; ENS at 0.21x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1.4x to 6.0x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1.4x to 6.0x); one protocol (ENS) shows</w:t>
      </w:r>
      <w:r>
        <w:rPr>
          <w:i/>
          <w:iCs/>
        </w:rPr>
        <w:t xml:space="preserve"> </w:t>
      </w:r>
      <w:r>
        <w:rPr>
          <w:i/>
          <w:iCs/>
        </w:rPr>
        <w:t xml:space="preserve">delegation-mediated dispersion (ratio 0.21x),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added in R2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original eight protocols) and May 2026 (used for GMX and ENS) is</w:t>
      </w:r>
      <w:r>
        <w:t xml:space="preserve"> </w:t>
      </w:r>
      <w:r>
        <w:t xml:space="preserve">documented in Section 2.10.3; rank-ordering across protocols is the</w:t>
      </w:r>
      <w:r>
        <w:t xml:space="preserve"> </w:t>
      </w:r>
      <w:r>
        <w:t xml:space="preserve">durable inferential property, with absolute magnitudes subject to</w:t>
      </w:r>
      <w:r>
        <w:t xml:space="preserve"> </w:t>
      </w:r>
      <w:r>
        <w:t xml:space="preserve">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0.21x; voting HHI 0.028 vs holding HHI 0.135). The dispersion</w:t>
      </w:r>
      <w:r>
        <w:t xml:space="preserve"> </w:t>
      </w:r>
      <w:r>
        <w:t xml:space="preserve">case is informative for the framework’s institutional-design thesis</w:t>
      </w:r>
      <w:r>
        <w:t xml:space="preserve"> </w:t>
      </w:r>
      <w:r>
        <w:t xml:space="preserve">because it provides an existence-proof that delegation outcomes are</w:t>
      </w:r>
      <w:r>
        <w:t xml:space="preserve"> </w:t>
      </w:r>
      <w:r>
        <w:t xml:space="preserve">design-tractable rather than mechanism-inevitable. The ENS delegate</w:t>
      </w:r>
      <w:r>
        <w:t xml:space="preserve"> </w:t>
      </w:r>
      <w:r>
        <w:t xml:space="preserve">program funds approximately 100 active delegates (including the ENS</w:t>
      </w:r>
      <w:r>
        <w:t xml:space="preserve"> </w:t>
      </w:r>
      <w:r>
        <w:t xml:space="preserve">DAO ecosystem grants for delegate work), and the top-100 delegate</w:t>
      </w:r>
      <w:r>
        <w:t xml:space="preserve"> </w:t>
      </w:r>
      <w:r>
        <w:t xml:space="preserve">voting-power distribution is structurally broader than the holding</w:t>
      </w:r>
      <w:r>
        <w:t xml:space="preserve"> </w:t>
      </w:r>
      <w:r>
        <w:t xml:space="preserve">distribution: top-1 holding share is 26.7% (largely DAO treasury and</w:t>
      </w:r>
      <w:r>
        <w:t xml:space="preserve"> </w:t>
      </w:r>
      <w:r>
        <w:t xml:space="preserve">team-vesting positions)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Phase 0 Tier C1 analysis (Section 4.1; supplementary file</w:t>
      </w:r>
      <w:r>
        <w:t xml:space="preserve"> </w:t>
      </w:r>
      <w:r>
        <w:t xml:space="preserve">veCRV_voting_concentration_2026-05-17.csv).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1.4x-6.0x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pull (per Phase 0 Tier C1 fact-check).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07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 after the F1 holder-list correction). The subsidy correlation</w:t>
      </w:r>
      <w:r>
        <w:t xml:space="preserve"> </w:t>
      </w:r>
      <w:r>
        <w:t xml:space="preserve">is entirely driven by Livepeer. 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 after the F1 holder-list correction)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0.016, Cohen’s</w:t>
      </w:r>
      <w:r>
        <w:t xml:space="preserve"> </w:t>
      </w:r>
      <w:r>
        <w:t xml:space="preserve">d = 1.10) is robust to sample composition. The test remains significant</w:t>
      </w:r>
      <w:r>
        <w:t xml:space="preserve"> </w:t>
      </w:r>
      <w:r>
        <w:t xml:space="preserve">in all 30 of 30 leave-one-out iterations. Seven protocols, when</w:t>
      </w:r>
      <w:r>
        <w:t xml:space="preserve"> </w:t>
      </w:r>
      <w:r>
        <w:t xml:space="preserve">individually dropped, push the p-value to 0.052: Hyperliquid, Aethir,</w:t>
      </w:r>
      <w:r>
        <w:t xml:space="preserve"> </w:t>
      </w:r>
      <w:r>
        <w:t xml:space="preserve">Lido, POKT Network, GEODNET, Livepeer, and WeatherXM. No single protocol</w:t>
      </w:r>
      <w:r>
        <w:t xml:space="preserve"> </w:t>
      </w:r>
      <w:r>
        <w:t xml:space="preserve">uniquely drives the result; rather, the test sits near the 5% threshold</w:t>
      </w:r>
      <w:r>
        <w:t xml:space="preserve"> </w:t>
      </w:r>
      <w:r>
        <w:t xml:space="preserve">and is sensitive to the exact composition of both sector subsamples. A</w:t>
      </w:r>
      <w:r>
        <w:t xml:space="preserve"> </w:t>
      </w:r>
      <w:r>
        <w:t xml:space="preserve">permutation test (10,000 random reassignments of sector labels) yields p</w:t>
      </w:r>
      <w:r>
        <w:t xml:space="preserve"> </w:t>
      </w:r>
      <w:r>
        <w:t xml:space="preserve">= 0.009, consistent with the direction not being an artifact of the</w:t>
      </w:r>
      <w:r>
        <w:t xml:space="preserve"> </w:t>
      </w:r>
      <w:r>
        <w:t xml:space="preserve">asymptotic approximation. We characterize this finding as suggestive</w:t>
      </w:r>
      <w:r>
        <w:t xml:space="preserve"> </w:t>
      </w:r>
      <w:r>
        <w:t xml:space="preserve">rather than robust.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1.89x</w:t>
      </w:r>
      <w:r>
        <w:t xml:space="preserve"> </w:t>
      </w:r>
      <w:r>
        <w:t xml:space="preserve">to 1.85x.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3.80x to 2.26x.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R1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 and the F1 cycle refinements).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1.03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0.21x is the</w:t>
      </w:r>
      <w:r>
        <w:t xml:space="preserve"> </w:t>
      </w:r>
      <w:r>
        <w:t xml:space="preserve">structural exception), with mean amplification of 3.3x and the</w:t>
      </w:r>
      <w:r>
        <w:t xml:space="preserve"> </w:t>
      </w:r>
      <w:r>
        <w:t xml:space="preserve">smallest amplification (GMX at 1.4x)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1.03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The R1 F1 cycle surfaced a</w:t>
      </w:r>
      <w:r>
        <w:t xml:space="preserve"> </w:t>
      </w:r>
      <w:r>
        <w:t xml:space="preserve">methodological lesson with broad applicability: holder-list extraction</w:t>
      </w:r>
      <w:r>
        <w:t xml:space="preserve"> </w:t>
      </w:r>
      <w:r>
        <w:t xml:space="preserve">cutoffs materially affect the measured concentration for sparse-holder</w:t>
      </w:r>
      <w:r>
        <w:t xml:space="preserve"> </w:t>
      </w:r>
      <w:r>
        <w:t xml:space="preserve">protocols. For three protocols (MOR, AXL, ZRO), Dune holder-list</w:t>
      </w:r>
      <w:r>
        <w:t xml:space="preserve"> </w:t>
      </w:r>
      <w:r>
        <w:t xml:space="preserve">queries had been inadvertently capped at top-100 rather than top-1000;</w:t>
      </w:r>
      <w:r>
        <w:t xml:space="preserve"> </w:t>
      </w:r>
      <w:r>
        <w:t xml:space="preserve">re-pulling at the top-1000 cutoff after applying PCA exclusion methodology</w:t>
      </w:r>
      <w:r>
        <w:t xml:space="preserve"> </w:t>
      </w:r>
      <w:r>
        <w:t xml:space="preserve">yielded substantively different HHI values: MOR 0.013 to 0.031 (post-F1);</w:t>
      </w:r>
      <w:r>
        <w:t xml:space="preserve"> </w:t>
      </w:r>
      <w:r>
        <w:t xml:space="preserve">AXL 0.004 to 0.028 (post-F1); ZRO 0.010 to 0.015 (post-F1). The</w:t>
      </w:r>
      <w:r>
        <w:t xml:space="preserve"> </w:t>
      </w:r>
      <w:r>
        <w:t xml:space="preserve">correction affected the cross-sector test statistics (DePIN-vs-DeFi</w:t>
      </w:r>
      <w:r>
        <w:t xml:space="preserve"> </w:t>
      </w:r>
      <w:r>
        <w:t xml:space="preserve">Mann-Whitney p = 0.027 to 0.016; Cohen’s d = 1.02 to 1.10; leave-one-out</w:t>
      </w:r>
      <w:r>
        <w:t xml:space="preserve"> </w:t>
      </w:r>
      <w:r>
        <w:t xml:space="preserve">sensitivity 23-of-30 to 30-of-30).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bookmarkEnd w:id="107"/>
    <w:bookmarkEnd w:id="108"/>
    <w:bookmarkStart w:id="119" w:name="discussion"/>
    <w:p>
      <w:pPr>
        <w:pStyle w:val="Heading1"/>
      </w:pPr>
      <w:r>
        <w:t xml:space="preserve">4 Discussion</w:t>
      </w:r>
    </w:p>
    <w:bookmarkStart w:id="109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(0.153)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1.4x to 6.0x; mean for the</w:t>
      </w:r>
      <w:r>
        <w:t xml:space="preserve"> </w:t>
      </w:r>
      <w:r>
        <w:t xml:space="preserve">nine amplifying protocols 3.8x; one structural-exception protocol (ENS</w:t>
      </w:r>
      <w:r>
        <w:t xml:space="preserve"> </w:t>
      </w:r>
      <w:r>
        <w:t xml:space="preserve">at 0.21x)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0.040)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0.027)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0.17, p = 0.32,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1.4 times (GMX) to 6.0 times (DIMO)</w:t>
      </w:r>
      <w:r>
        <w:t xml:space="preserve"> </w:t>
      </w:r>
      <w:r>
        <w:t xml:space="preserve">across the amplifying protocols (nine of ten; ENS at 0.21x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(3.7 times) and Arbitrum (4.3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09"/>
    <w:bookmarkStart w:id="110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0.045)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0"/>
    <w:bookmarkStart w:id="111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1"/>
    <w:bookmarkStart w:id="112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0.040)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2"/>
    <w:bookmarkStart w:id="113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0.014,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3"/>
    <w:bookmarkStart w:id="114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0.17, p = 0.32):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0.016, d = 1.03),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second-highest HHI</w:t>
      </w:r>
      <w:r>
        <w:t xml:space="preserve"> </w:t>
      </w:r>
      <w:r>
        <w:t xml:space="preserve">(0.153), while Hivemapper combines a 5.46x subsidy ratio with the lowest</w:t>
      </w:r>
      <w:r>
        <w:t xml:space="preserve"> </w:t>
      </w:r>
      <w:r>
        <w:t xml:space="preserve">HHI among expansion protocols (0.020).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0.14 and 0.17).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1.4x to 6.0x; mean 3.3x; Section 3.5),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4"/>
    <w:bookmarkStart w:id="115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126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after adjusting for protocol age, log fully diluted</w:t>
      </w:r>
      <w:r>
        <w:t xml:space="preserve"> </w:t>
      </w:r>
      <w:r>
        <w:t xml:space="preserve">valuation, and insider allocation (Mann-Whitney p = 0.016, Cohen’s</w:t>
      </w:r>
      <w:r>
        <w:t xml:space="preserve"> </w:t>
      </w:r>
      <w:r>
        <w:t xml:space="preserve">d = 1.10; Table 6: sector coefficient p &lt; 0.05 in Models 1 and 2,</w:t>
      </w:r>
      <w:r>
        <w:t xml:space="preserve"> </w:t>
      </w:r>
      <w:r>
        <w:t xml:space="preserve">borderline at p = 0.050 in Model 3 with the full control set).</w:t>
      </w:r>
      <w:r>
        <w:t xml:space="preserve"> </w:t>
      </w:r>
      <w:r>
        <w:t xml:space="preserve">Initial allocation, maturity, subsidy structure, and token unlock</w:t>
      </w:r>
      <w:r>
        <w:t xml:space="preserve"> </w:t>
      </w:r>
      <w:r>
        <w:t xml:space="preserve">progress (three float specifications, all |r| &lt; 0.05) do not</w:t>
      </w:r>
      <w:r>
        <w:t xml:space="preserve"> </w:t>
      </w:r>
      <w:r>
        <w:t xml:space="preserve">predict concentration. The allocation null is the headline finding;</w:t>
      </w:r>
      <w:r>
        <w:t xml:space="preserve"> </w:t>
      </w:r>
      <w:r>
        <w:t xml:space="preserve">the sector contrast is the headline positive result.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1.4x to 6.0x; mean</w:t>
      </w:r>
      <w:r>
        <w:t xml:space="preserve"> </w:t>
      </w:r>
      <w:r>
        <w:t xml:space="preserve">3.8x), with one structural exception (ENS at 0.21x).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0.135; delegation-mediated dispersion at</w:t>
      </w:r>
      <w:r>
        <w:t xml:space="preserve"> </w:t>
      </w:r>
      <w:r>
        <w:t xml:space="preserve">ratio 0.21x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5"/>
    <w:bookmarkStart w:id="116" w:name="limitations-1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carries several limitations. The governance concentration</w:t>
      </w:r>
      <w:r>
        <w:t xml:space="preserve"> </w:t>
      </w:r>
      <w:r>
        <w:t xml:space="preserve">analysis is a March 2026 snapshot: tracking concentration over time</w:t>
      </w:r>
      <w:r>
        <w:t xml:space="preserve"> </w:t>
      </w:r>
      <w:r>
        <w:t xml:space="preserve">would reveal whether protocols are becoming more or less concentrated</w:t>
      </w:r>
      <w:r>
        <w:t xml:space="preserve"> </w:t>
      </w:r>
      <w:r>
        <w:t xml:space="preserve">and strengthen causal claims. A single scorer has applied the scoring</w:t>
      </w:r>
      <w:r>
        <w:t xml:space="preserve"> </w:t>
      </w:r>
      <w:r>
        <w:t xml:space="preserve">rubric; inter-rater reliability testing with independent scorers is</w:t>
      </w:r>
      <w:r>
        <w:t xml:space="preserve"> </w:t>
      </w:r>
      <w:r>
        <w:t xml:space="preserve">needed before the rubric can claim measurement validity beyond its</w:t>
      </w:r>
      <w:r>
        <w:t xml:space="preserve"> </w:t>
      </w:r>
      <w:r>
        <w:t xml:space="preserve">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measure;</w:t>
      </w:r>
      <w:r>
        <w:t xml:space="preserve"> </w:t>
      </w:r>
      <w:r>
        <w:t xml:space="preserve">power indices measure pivotal-voter influence. The Shapley-Shubik power</w:t>
      </w:r>
      <w:r>
        <w:t xml:space="preserve"> </w:t>
      </w:r>
      <w:r>
        <w:t xml:space="preserve">index (Shapley &amp; Shubik, 1954) and the Banzhaf index (Banzhaf, 1968)</w:t>
      </w:r>
      <w:r>
        <w:t xml:space="preserve"> </w:t>
      </w:r>
      <w:r>
        <w:t xml:space="preserve">are the canonical voting-theory complements to HHI: under</w:t>
      </w:r>
      <w:r>
        <w:t xml:space="preserve"> </w:t>
      </w:r>
      <w:r>
        <w:t xml:space="preserve">threshold-voting mechanisms, a holder’s pivotal probability can diverge</w:t>
      </w:r>
      <w:r>
        <w:t xml:space="preserve"> </w:t>
      </w:r>
      <w:r>
        <w:t xml:space="preserve">substantially from their nominal token share, particularly near passage</w:t>
      </w:r>
      <w:r>
        <w:t xml:space="preserve"> </w:t>
      </w:r>
      <w:r>
        <w:t xml:space="preserve">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bookmarkEnd w:id="116"/>
    <w:bookmarkStart w:id="118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17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two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 that future panel-data analysis can test. First, if</w:t>
      </w:r>
      <w:r>
        <w:t xml:space="preserve"> </w:t>
      </w:r>
      <w:r>
        <w:t xml:space="preserve">governance concentration continues to track sector membership (the</w:t>
      </w:r>
      <w:r>
        <w:t xml:space="preserve"> </w:t>
      </w:r>
      <w:r>
        <w:t xml:space="preserve">DePIN-DeFi differential documented in Section 3.3), we predict that</w:t>
      </w:r>
      <w:r>
        <w:t xml:space="preserve"> </w:t>
      </w:r>
      <w:r>
        <w:t xml:space="preserve">DePIN protocols entering the cross-section in 2026-2027 will, on</w:t>
      </w:r>
      <w:r>
        <w:t xml:space="preserve"> </w:t>
      </w:r>
      <w:r>
        <w:t xml:space="preserve">average, exhibit higher holding HHI than DeFi protocols entering in</w:t>
      </w:r>
      <w:r>
        <w:t xml:space="preserve"> </w:t>
      </w:r>
      <w:r>
        <w:t xml:space="preserve">the same period, conditional on launch year and insider allocation</w:t>
      </w:r>
      <w:r>
        <w:t xml:space="preserve"> </w:t>
      </w:r>
      <w:r>
        <w:t xml:space="preserve">similarity. Second, given the universal delegation amplification</w:t>
      </w:r>
      <w:r>
        <w:t xml:space="preserve"> </w:t>
      </w:r>
      <w:r>
        <w:t xml:space="preserve">documented in Section 3.5, we predict that any protocol introducing a</w:t>
      </w:r>
      <w:r>
        <w:t xml:space="preserve"> </w:t>
      </w:r>
      <w:r>
        <w:t xml:space="preserve">delegate-program after R2 submission (or expanding from informal to</w:t>
      </w:r>
      <w:r>
        <w:t xml:space="preserve"> </w:t>
      </w:r>
      <w:r>
        <w:t xml:space="preserve">formal delegation) will produce voting HHI greater than its holding</w:t>
      </w:r>
      <w:r>
        <w:t xml:space="preserve"> </w:t>
      </w:r>
      <w:r>
        <w:t xml:space="preserve">HHI within twelve months of the program launch, with magnitude varying</w:t>
      </w:r>
      <w:r>
        <w:t xml:space="preserve"> </w:t>
      </w:r>
      <w:r>
        <w:t xml:space="preserve">by delegate-program design rather than by sector. Both predictions</w:t>
      </w:r>
      <w:r>
        <w:t xml:space="preserve"> </w:t>
      </w:r>
      <w:r>
        <w:t xml:space="preserve">inherit the methodology applied in this paper (PCA-symmetric HHI</w:t>
      </w:r>
      <w:r>
        <w:t xml:space="preserve"> </w:t>
      </w:r>
      <w:r>
        <w:t xml:space="preserve">computation; March 2026 baseline methodology). Subsequent panel-data</w:t>
      </w:r>
      <w:r>
        <w:t xml:space="preserve"> </w:t>
      </w:r>
      <w:r>
        <w:t xml:space="preserve">and event-study work testing these predictions will be pre-registered</w:t>
      </w:r>
      <w:r>
        <w:t xml:space="preserve"> </w:t>
      </w:r>
      <w:r>
        <w:t xml:space="preserve">(OSF or equivalent) to commit hypothesis specifications prior to data</w:t>
      </w:r>
      <w:r>
        <w:t xml:space="preserve"> </w:t>
      </w:r>
      <w:r>
        <w:t xml:space="preserve">analysis, addressing the multiple-comparisons concerns inherent in</w:t>
      </w:r>
      <w:r>
        <w:t xml:space="preserve"> </w:t>
      </w:r>
      <w:r>
        <w:t xml:space="preserve">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(86 protocol-controlled address</w:t>
      </w:r>
      <w:r>
        <w:t xml:space="preserve"> </w:t>
      </w:r>
      <w:r>
        <w:t xml:space="preserve">exclusions across 38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R2 Table 4 expansion,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18"/>
    <w:bookmarkEnd w:id="119"/>
    <w:bookmarkStart w:id="121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1"/>
    <w:bookmarkStart w:id="12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2"/>
    <w:bookmarkStart w:id="12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2026-05-19T06:04:34Z</dcterms:created>
  <dcterms:modified xsi:type="dcterms:W3CDTF">2026-05-19T06:04:34Z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