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Tokenomics as Institutional Design: A Normative Framework and Governance Concentration Analysis</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pStyle w:val="Heading1"/>
      </w:pPr>
      <w:r>
        <w:t>Abstract</w:t>
      </w:r>
    </w:p>
    <w:p>
      <w:r>
        <w:rPr>
          <w:b w:val="0"/>
        </w:rPr>
        <w:t>Three protocols with nearly identical subsidy ratios (0.33–0.37x, specifically DIMO, Aethir, and Aave) have governance concentrations spanning 0.020 to 0.168 by Herfindahl-Hirschman Index (HHI). If financial sustainability determined governance decentralization, these protocols would cluster. They do not. This paper asks what does determine governance concentration in tokenized institutions, and finds: nothing measurable. In a 38-protocol cross-section spanning DePIN and DeFi (March 2026 snapshot, protocol-controlled addresses excluded), neither sector membership, initial token allocation (r = +0.08, p = 0.64, N = 33), protocol maturity, nor subsidy structure robustly predicts holding HHI. The one nominally significant association (Pearson r = +0.56, p = 0.011, N = 20) does not survive rank-based testing (Spearman rho = +0.13, p = 0.60) or removal of a single extreme observation. A systematic exclusion methodology removing 56 protocol-controlled addresses across 17 protocols reveals that naive holder-list analysis overstates concentration by up to 5x; the methodology itself constitutes a contribution to the governance measurement literature. To evaluate what concentration means for institutional legitimacy, the paper develops a normative framework translating five political-philosophical traditions (Kant, Rawls, Pettit, Ostrom, Hayek) into evaluable design criteria. Governance concentration is a design outcome, not a financial outcome.</w:t>
      </w:r>
    </w:p>
    <w:p>
      <w:pPr>
        <w:pStyle w:val="Heading 2"/>
        <w:spacing w:before="240"/>
      </w:pPr>
      <w:r>
        <w:rPr>
          <w:b/>
        </w:rPr>
        <w:t xml:space="preserve">JEL Codes: </w:t>
      </w:r>
      <w:r>
        <w:rPr/>
        <w:t>D02, D47, D63, D71, G34, L14, L86, P48</w:t>
      </w:r>
    </w:p>
    <w:p>
      <w:pPr>
        <w:pStyle w:val="Heading 2"/>
        <w:spacing w:before="240"/>
      </w:pPr>
      <w:r>
        <w:rPr>
          <w:b/>
        </w:rPr>
        <w:t>Keywords: tokenomics, institutional design, DePIN, governance concentration, mechanism design, political philosophy, Herfindahl-Hirschman Index, decentralized governance, scoring rubric, blockchain governance, exclusion methodology, delegation amplification, sector invariance; on-chain subsidy ratio; robustness; sample expansion; outlier robustness.</w:t>
      </w:r>
      <w:r>
        <w:rPr/>
      </w:r>
    </w:p>
    <w:p>
      <w:pPr>
        <w:pStyle w:val="Heading1"/>
      </w:pPr>
      <w:r>
        <w:t>1. Introduction</w:t>
      </w:r>
    </w:p>
    <w:p>
      <w:pPr>
        <w:pStyle w:val="Heading2"/>
      </w:pPr>
      <w:r>
        <w:t>1.1 Motivation</w:t>
      </w:r>
    </w:p>
    <w:p>
      <w:r>
        <w:t>Three protocols with subsidy ratios between 0.33x and 0.37x , specifically DIMO, Aethir, and Aave) have governance HHI values of 0.038, 0.168, and 0.020 respectively. If financial sustainability determined governance concentration, these protocols would cluster. Instead, they span the full range of the 38-protocol sample. Governance concentration is a design outcome, not a financial outcome.</w:t>
      </w:r>
    </w:p>
    <w:p>
      <w:r>
        <w:t xml:space="preserve">Token-based governance is the default coordination mechanism for billions of dollars in decentralized physical infrastructure (DePIN) and decentralized finance (DeFi). But what determines whether governance power concentrates or distributes? Three candidate explanations dominate practitioner discourse: insider token allocation concentrates power; subsidy dependence (high token emissions relative to revenue) entrenches early holders; and younger protocols have not yet had time to decentralize. This paper tests all three.</w:t>
      </w:r>
    </w:p>
    <w:p>
      <w:r>
        <w:t>We construct a 38-protocol governance concentration dataset spanning DePIN and DeFi, develop a Blockscout-verified exclusion methodology to remove 56 protocol-controlled addresses (staking contracts, exchange custodians, vesting locks, and protocol treasuries) from HHI computation, and test every available cross-sectional predictor of concentration using both parametric and rank-based methods.</w:t>
      </w:r>
    </w:p>
    <w:p>
      <w:r>
        <w:t>Four findings emerge. First, protocol-controlled address contamination is a field-wide measurement problem: 56 addresses across 17 protocols were masquerading as governance participants, and removing them changed affected protocols’ HHI by up to 5x. Second, no measured covariate robustly predicts governance concentration; the one nominally significant Pearson correlation (r = +0.56, p = 0.011) is driven entirely by a single extreme observation and disappears under rank-based testing (Spearman rho = +0.13, p = 0.60). Third, DePIN governance concentration is not statistically distinguishable from DeFi after exclusion correction (Welch p = 0.052, Cohen’s d = 0.54). Fourth, delegation amplifies concentration unevenly: DePIN protocols show voting-power HHI 3 to 6 times their holding HHI, while infrastructure protocols show the reverse pattern.</w:t>
      </w:r>
    </w:p>
    <w:p>
      <w:r>
        <w:t xml:space="preserve">These results extend the governance concentration literature (Barbereau et al., 2023; Feichtinger et al., 2023; Cong et al., 2025) in three directions: an exclusion methodology that corrects a systematic measurement artifact in prior work, a cross-sector null result that challenges financial explanations of concentration, and a normative framework translating five political-philosophical traditions into evaluable design criteria for tokenized institutions. To evaluate what concentration means for institutional legitimacy, the framework operationalizes constraints from Kant (publicity), Rawls (floor protection), Pettit (non-domination), Ostrom (polycentricity), and Hayek (dispersed knowledge) through a replicable scoring rubric.</w:t>
      </w:r>
    </w:p>
    <w:p>
      <w:r>
        <w:t xml:space="preserve">Sections 2 and 3 develop the theoretical framework and design hypotheses. Section 4 operationalizes the framework through a scoring rubric and governance concentration cross-section design. Section 5 presents the empirical analysis. Sections 6 and 7 discuss implications, limitations, and future directions.</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r>
        <w:rPr/>
        <w:t xml:space="preserve">Political philosophy asks: </w:t>
      </w:r>
      <w:r>
        <w:rPr>
          <w:i/>
        </w:rPr>
        <w:t>What makes a rule system just, stable, and worth participating in?</w:t>
      </w:r>
      <w:r>
        <w:rPr/>
        <w:t xml:space="preserve"> Tokenomics asks: What rules and incentives produce participation, security, sustainability, and coordination under strategic behavior?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is developed in a separate study (Zukowski, 2026b).</w:t>
      </w:r>
    </w:p>
    <w:p>
      <w:pPr>
        <w:pStyle w:val="Heading2"/>
      </w:pPr>
      <w:r>
        <w:t>1.4 Scope, Assumptions, and Limitations</w:t>
      </w:r>
    </w:p>
    <w:p>
      <w:pPr>
        <w:pStyle w:val="Heading2"/>
      </w:pPr>
      <w:r>
        <w:t>The cross-sector subsidy analysis includes one extreme observation (Livepeer, subsidy ratio 88.5x) that exerts disproportionate leverage on the Pearson correlation. While the protocol is not excluded from the main specification (its extreme subsidy is a genuine feature of its tokenomics, not a measurement error), the nominal Pearson significance (p = 0.011) is entirely attributable to this single data point. The Spearman rank correlation, which downweights extreme values, shows no relationship (p = 0.60). Future work with larger DePIN samples would provide a more definitive test.</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t>Participants are strategic; incentives and governance rules shape behavior.</w:t>
      </w:r>
    </w:p>
    <w:p>
      <w:r>
        <w:rPr/>
        <w:t>Legitimacy affects participation persistence and willingness to invest in long-run cooperation.</w:t>
      </w:r>
    </w:p>
    <w:p>
      <w:r>
        <w:rPr/>
        <w:t>Public rule systems can be observed and scored with acceptable reliability using well-defined rubrics.</w:t>
      </w:r>
    </w:p>
    <w:p>
      <w:pPr>
        <w:pStyle w:val="Heading3"/>
      </w:pPr>
      <w:r>
        <w:t>1.4.3 Limitations</w:t>
      </w:r>
    </w:p>
    <w:p>
      <w:r>
        <w:rPr/>
        <w:t>Construct validity: mapping philosophy to rubric scores risks simplification; this paper mitigates through transparent criteria and inter-rater reliability checks.</w:t>
      </w:r>
      <w:r>
        <w:t xml:space="preserve"> The framework's hypotheses are tested descriptively in this paper's governance concentration cross-section, but not yet through the full regression, panel, and event-study pipeline specified in the supplementary materials. Longitudinal case evidence and simulation are developed in separate studies.</w:t>
      </w:r>
    </w:p>
    <w:p>
      <w:r>
        <w:rPr/>
        <w:t>Endogeneity: “high-quality governance” may correlate with unobserved competence; mitigated via controls, panel designs, and event studies.</w:t>
      </w:r>
    </w:p>
    <w:p>
      <w:r>
        <w:rPr/>
        <w:t>Data limitations: not all social outcomes are observable; capability measures may be available only for subsets of projects.</w:t>
      </w:r>
    </w:p>
    <w:p>
      <w:pPr>
        <w:pStyle w:val="Heading2"/>
      </w:pPr>
      <w:r>
        <w:t>1.5 Paper Outline</w:t>
      </w:r>
    </w:p>
    <w:p>
      <w:r>
        <w:rPr>
          <w:b w:val="0"/>
        </w:rPr>
        <w:t>Sections 2 and 3 develop the theoretical framework and design hypotheses. Section 4 operationalizes the framework through a scoring rubric and governance concentration cross-section design. Section 5 presents the empirical illustration. Sections 6 and 7 discuss implications, limitations, and future directions. Supplementary materials provide full metric definitions, research instrument templates, and the replication-ready pipeline specification.</w:t>
      </w:r>
    </w:p>
    <w:p>
      <w:pPr>
        <w:pStyle w:val="Heading1"/>
      </w:pPr>
      <w:r>
        <w:t>2. Literature Review</w:t>
      </w:r>
    </w:p>
    <w:p>
      <w:pPr>
        <w:pStyle w:val="Heading2"/>
      </w:pPr>
      <w:r>
        <w:t>2.1 Overview: From “Token Design”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Token systems are institution-like: they function as rule-governed systems with constitutional constraints, fiscal policy, property-like rights, and enforcement procedures. This framing parallels classic traditions in constitutional political economy (e.g., Buchanan and Tullock (1962)) and commons governance (Ostrom), while also drawing from political philosophy’s theories of legitimacy, justice, and domination. A key theme is that crypto networks differ from Web2 platforms not because they “lack governance,”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“reverse engineering”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“Sinks” as Economic Policy</w:t>
      </w:r>
    </w:p>
    <w:p>
      <w:r>
        <w:rPr/>
        <w:t>Some of the clearest illustrations of tokenomics-as-policy appear in fee mechanism design. Ethereum’s EIP-1559 (Buterin et al., 2019), for instance, introduced a base fee adjusted by network demand and burned rather than paid to miners/validators, creating a direct “sink” linked to usage and shaping the economic properties of the asset. Tim Roughgarden’s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“set-and-forget”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pPr>
        <w:pStyle w:val="Heading2"/>
      </w:pPr>
      <w:r>
        <w:t>2.3 Incentives, Liquidity Mining, and the “Mercenary Capital”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“mercenary capital”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“Decentralization Illusion”</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“whales,” delegates, or insiders, leading to outcomes that are formally decentralized but substantively centralized.</w:t>
      </w:r>
      <w:r>
        <w:rPr>
          <w:b/>
        </w:rPr>
      </w:r>
      <w:r>
        <w:rPr/>
      </w:r>
      <w:r>
        <w:rPr>
          <w:b/>
        </w:rPr>
      </w:r>
      <w:r>
        <w:rPr/>
      </w:r>
    </w:p>
    <w:p>
      <w:r>
        <w:rPr/>
        <w:t>The Bank for International Settlements (BIS) argues (Aramonte et al., 2021) that DeFi contains a “decentralization illusion,” emphasizing structural tendencies toward concentration due to governance needs and incentive structures. This critique is significant for this paper because it links governance concentration to systemic risks and questions the legitimacy of “decentralized” claims.</w:t>
      </w:r>
    </w:p>
    <w:p>
      <w:r>
        <w:rPr/>
        <w:t>Recent research further explores the micro-dynamics of governance under token voting and delegation. For example, Gersbach, Schneider, and Shahkar (2024) analyze vote delegation in blockchain governance and find that delegation can meaningfully change outcomes under highly unbalanced voting rights but has negligible impact under balanced systems, suggesting that delegation is not a universal solution to legitimacy problems.</w:t>
        <w:br/>
        <w:t>A scoping review (Weidener et al., 2025) similarly maps delegation’s implementation and challenges, reinforcing the point that delegation can either mitigate or entrench concentration depending on design.</w:t>
      </w:r>
      <w:r>
        <w:rPr>
          <w:i/>
        </w:rPr>
      </w:r>
      <w:r>
        <w:rPr/>
      </w:r>
    </w:p>
    <w:p>
      <w:r>
        <w:rPr/>
        <w:t>Most directly relevant, Cong et al. (2025) provide stylized facts and analysis suggesting persistent concentration in DAOs and governance token trading dynamics, reinforcing the need for institutional safeguards rather than assuming “token voting” equals democracy.</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 xml:space="preserve">Han, Lee, and Li (2023) formalize the governance consequences of ownership concentration, showing that whale dominance reduces platform growth but that staking mechanisms and token illiquidity can mitigate its negative effect. Their finding that ownership concentration is structurally harmful, not merely descriptively present, motivates the normative framework developed here: if concentration damages governance quality, then the political-philosophical traditions that specify what good governance requires become directly relevant to token system design. Han, Lee, and Li (2024) provide a comprehensive review of DAO governance mechanisms, voting models, and the emerging agency problem between large token holders and smaller participants.</w:t>
      </w:r>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“hard parameters”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 distinction between a protocol’s “constitutional layer” (hard-to-change constraints) and “policy layer” (adjustable parameters).</w:t>
      </w:r>
    </w:p>
    <w:p>
      <w:pPr>
        <w:pStyle w:val="Heading3"/>
      </w:pPr>
      <w:r>
        <w:t>2.6.2 Ostrom and Polycentricity</w:t>
      </w:r>
    </w:p>
    <w:p>
      <w:r>
        <w:rPr/>
        <w:t>Ostrom’s (1990) work provides one of the strongest empirical foundations for governance of commons and public service industries. Her concept of polycentric governance emphasizes multiple overlapping decision centers, local experimentation, and rule diversity. Ostrom’s AER article explicitly characterizes polycentric systems as alternatives to the binary “market vs state” framing, offering an analytical framework for complex economic systems with multi-level governance.</w:t>
      </w:r>
      <w:r>
        <w:rPr>
          <w:b/>
        </w:rPr>
      </w:r>
      <w:r>
        <w:rPr/>
      </w:r>
    </w:p>
    <w:p>
      <w:r>
        <w:rPr/>
        <w:t>Polycentricity (Ostrom, 1990) is particularly salient for DePIN, where service conditions differ across geography and where local knowledge is crucial for operational decisions. The thesis later proposes polycentric sub-DAOs/councils as governance primitives for range-based or region-based tuning.</w:t>
      </w:r>
    </w:p>
    <w:p>
      <w:pPr>
        <w:pStyle w:val="Heading2"/>
      </w:pPr>
      <w:r>
        <w:t>2.7 Political Philosophy as Legitimacy Specification</w:t>
      </w:r>
    </w:p>
    <w:p>
      <w:pPr>
        <w:pStyle w:val="Heading3"/>
      </w:pPr>
      <w:r>
        <w:t>2.7.1 Kant: Publicity and Right</w:t>
      </w:r>
    </w:p>
    <w:p>
      <w:r>
        <w:rPr/>
        <w:t>Kant’s (1785/1997) political philosophy articulates constraints on legitimate coercion and public law, including the idea that political maxims must be capable of publicity (a “transcendental principle of the publicity of public law”). The Stanford Encyclopedia notes that the Kantian publicity test functions as a necessary condition for rightness in the political sphere, connecting legitimacy to the ability to publicly avow governing principles.</w:t>
      </w:r>
    </w:p>
    <w:p>
      <w:r>
        <w:rPr/>
        <w:t>Kant’s (1785/1997) relevance here is not metaphysical but procedural: token systems often impose penalties, bans, or slashing (forms of coercion) and thus require a legitimacy standard grounded in transparency, due process, and non-arbitrary enforcement.</w:t>
      </w:r>
    </w:p>
    <w:p>
      <w:pPr>
        <w:pStyle w:val="Heading3"/>
      </w:pPr>
      <w:r>
        <w:t>2.7.2 Republican Non-Domination (Pettit (1997) and the Domination Literature)</w:t>
      </w:r>
    </w:p>
    <w:p>
      <w:r>
        <w:rPr/>
        <w:t>Republican freedom as non-domination (Pettit, 1997) frames legitimacy as protection against arbitrary power rather than mere non-interference. The SEP’s entry on republicanism describes non-domination as central to contemporary civic republican theory.</w:t>
        <w:br/>
        <w:t>The SEP’s separate entry on domination (substantively revised in 2025) emphasizes that theories of domination clarify justice and freedom by examining vulnerability to unrestrained power, directly relevant to governance capture risks in token systems.</w:t>
      </w:r>
      <w:r>
        <w:rPr>
          <w:b/>
        </w:rPr>
      </w:r>
      <w:r>
        <w:rPr/>
      </w:r>
    </w:p>
    <w:p>
      <w:r>
        <w:rPr/>
        <w:t xml:space="preserve">Non-domination (Pettit, 1997) translates into tokenomics design as </w:t>
      </w:r>
      <w:r>
        <w:rPr>
          <w:b/>
        </w:rPr>
        <w:t>contestability</w:t>
      </w:r>
      <w:r>
        <w:rPr/>
        <w:t>: appeals, oversight, and transparency that prevent arbitrary penalties or parameter changes.</w:t>
      </w:r>
    </w:p>
    <w:p>
      <w:pPr>
        <w:pStyle w:val="Heading3"/>
      </w:pPr>
      <w:r>
        <w:t>2.7.3 The Capability Approach (Sen (1999)/Nussbaum)</w:t>
      </w:r>
    </w:p>
    <w:p>
      <w:r>
        <w:rPr/>
        <w:t>The capability approach (Sen, 1999; Nussbaum, 2011) provides a normative framework for evaluating social arrangements not by GDP or preferences alone, but by the real opportunities individuals have to achieve valued “doings and beings.” The SEP entry emphasizes capabilities and functionings as core evaluative concepts, motivating the thesis’s call to measure social impact beyond token price and TVL.</w:t>
      </w:r>
    </w:p>
    <w:p>
      <w:pPr>
        <w:pStyle w:val="Heading3"/>
      </w:pPr>
      <w:r>
        <w:t>2.7.4 Hayek and Dispersed Knowledge</w:t>
      </w:r>
    </w:p>
    <w:p>
      <w:r>
        <w:rPr/>
        <w:t>Hayek’s (1945) “Use of Knowledge in Society” argues that knowledge is dispersed and that price signals coordinate local information in ways centralized planning cannot replicate. This provides both a critique of centralized parameter-setting and a positive argument for governance designs that incorporate edge-level signals.</w:t>
      </w:r>
    </w:p>
    <w:p>
      <w:pPr>
        <w:pStyle w:val="Heading3"/>
      </w:pPr>
      <w:r>
        <w:t>2.7.5 Information Ethics and Contextual Integrity (Floridi (2013)/Nissenbaum)</w:t>
      </w:r>
    </w:p>
    <w:p>
      <w:r>
        <w:rPr/>
        <w:t>Tokenized networks require data and identity systems (sybil resistance, proof-of-service, reputation). This raises privacy and surveillance risks. Nissenbaum (2010)’s “privacy as contextual integrity” frames privacy as appropriate information flow governed by contextual norms, an approach influential in law, public policy, and computer science.</w:t>
      </w:r>
    </w:p>
    <w:p>
      <w:r>
        <w:rPr/>
        <w:t>This literature (Floridi, 2013; Nissenbaum, 2010) underwrites later design claims: token systems that rely on ever-expanding telemetry risk becoming disciplinary systems (a concern aligned with Foucault) unless constrained by contextual integrity and proportionality.</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 formal conceptual model that treats tokenomics as applied political philosophy,</w:t>
      </w:r>
    </w:p>
    <w:p>
      <w:r>
        <w:rPr/>
        <w:t>a mechanism design architecture tailored to DePIN and borderless infrastructure, and</w:t>
      </w:r>
    </w:p>
    <w:p>
      <w:r>
        <w:rPr/>
        <w:t>an empirical methods program that operationalizes philosophical commitments via a scoring rubric and tests their association with outcomes.</w:t>
      </w:r>
    </w:p>
    <w:p>
      <w:pPr>
        <w:pStyle w:val="Heading1"/>
      </w:pPr>
      <w:r>
        <w:t>3. Theoretical Framework</w:t>
      </w:r>
    </w:p>
    <w:p>
      <w:pPr>
        <w:pStyle w:val="Heading2"/>
      </w:pPr>
      <w:r>
        <w:t>3.1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w:t>
      </w:r>
    </w:p>
    <w:p>
      <w:r>
        <w:rPr/>
        <w:t>The philosophical question - “What makes a rule system legitimate?” - therefore becomes an engineering question: “What mechanism properties produce legitimacy under adversarial conditions and pluralistic values?”</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2"/>
      </w:pPr>
      <w:r>
        <w:t>3.2 Formal Definitions and Notation</w:t>
      </w:r>
    </w:p>
    <w:p>
      <w:pPr>
        <w:pStyle w:val="Heading3"/>
      </w:pPr>
      <w:r>
        <w:t>Definition 3.1 (Tokenized Institutional System)</w:t>
      </w:r>
    </w:p>
    <w:p>
      <w:r>
        <w:t>A tokenized institutional system is a tuple:</w:t>
      </w:r>
    </w:p>
    <w:p>
      <w:pPr>
        <w:jc w:val="center"/>
        <w:spacing w:before="120" w:after="120"/>
      </w:pPr>
      <m:oMathPara>
        <m:oMath>
          <m:r>
            <m:rPr>
              <m:sty m:val="p"/>
            </m:rPr>
            <m:t xml:space="preserve">𝒮 = </m:t>
          </m:r>
          <m:d>
            <m:dPr>
              <m:begChr m:val="⟨"/>
              <m:endChr m:val="⟩"/>
            </m:dPr>
            <m:e>
              <m:r>
                <m:rPr>
                  <m:sty m:val="p"/>
                </m:rPr>
                <m:t xml:space="preserve">𝒜, </m:t>
              </m:r>
              <m:r>
                <m:t xml:space="preserve">Π</m:t>
              </m:r>
              <m:r>
                <m:rPr>
                  <m:sty m:val="p"/>
                </m:rPr>
                <m:t>, ℳ, ℰ, 𝒢, ℐ</m:t>
              </m:r>
            </m:e>
          </m:d>
        </m:oMath>
      </m:oMathPara>
    </w:p>
    <w:p>
      <w:r>
        <w:rPr/>
        <w:t>where: (𝒜) is a set of agent types (e.g., users (U), operators (O), token holders (H), delegates (D), adversaries (X).</w:t>
      </w:r>
    </w:p>
    <w:p>
      <w:r>
        <w:rPr/>
        <w:t>(Π) is a policy vector (“tokenomics design”) consisting of: issuance rules, distribution rules, eligibility rules, reward functions, sink functions, and governance rules.</w:t>
      </w:r>
    </w:p>
    <w:p>
      <w:r>
        <w:rPr/>
        <w:t>(ℳ) is a measurement system (oracles, proofs, telemetry, audits).</w:t>
      </w:r>
    </w:p>
    <w:p>
      <w:r>
        <w:rPr/>
        <w:t>(ℰ) is an enforcement system (slashing, bans, sanctions, dispute resolution).</w:t>
      </w:r>
    </w:p>
    <w:p>
      <w:r>
        <w:rPr/>
        <w:t>(𝒢) is the governance process (proposal rights, voting, delegation, timelocks, vetoes).</w:t>
      </w:r>
    </w:p>
    <w:p>
      <w:r>
        <w:rPr/>
        <w:t>(ℐ) is information governance (data-use policies, identity, privacy constraints).</w:t>
      </w:r>
    </w:p>
    <w:p>
      <w:r>
        <w:rPr/>
        <w:t>In plain terms: a token system is defined by who can participate (A), what the rules are (Π), how performance is measured (M), how violations are punished (E), how rules change (G), and how data is handled (I). The five philosophical traditions constrain how each of these components can be designed.</w:t>
      </w:r>
    </w:p>
    <w:p>
      <w:pPr>
        <w:pStyle w:val="Heading3"/>
      </w:pPr>
      <w:r>
        <w:t>Definition 3.2 (Sink and Faucet)</w:t>
      </w:r>
    </w:p>
    <w:p>
      <w:r>
        <w:rPr/>
        <w:t>For a time window (t), define:</w:t>
      </w:r>
    </w:p>
    <w:p>
      <w:r>
        <w:rPr/>
        <w:t>Faucet</w:t>
      </w:r>
      <m:oMath>
        <m:sSub>
          <m:e>
            <m:r>
              <m:t xml:space="preserve">F</m:t>
            </m:r>
          </m:e>
          <m:sub>
            <m:r>
              <m:t xml:space="preserve">t</m:t>
            </m:r>
          </m:sub>
        </m:sSub>
      </m:oMath>
      <w:r>
        <w:t>: total net token issuance distributed as rewards (or other liquid supply increases).</w:t>
      </w:r>
    </w:p>
    <w:p>
      <w:r>
        <w:rPr/>
        <w:t>Sink: float-reducing mechanisms (burns, buybacks that retire tokens, locks that credibly reduce circulating float over the window).</w:t>
        <w:br/>
        <w:t>A system exhibits “sink before faucet” discipline if sinks are deployed and observable before (or alongside) large-scale faucets.</w:t>
      </w:r>
      <m:oMath>
        <m:sSub>
          <m:e>
            <m:r>
              <m:t xml:space="preserve">S</m:t>
            </m:r>
          </m:e>
          <m:sub>
            <m:r>
              <m:t xml:space="preserve">t</m:t>
            </m:r>
          </m:sub>
        </m:sSub>
      </m:oMath>
      <w:r/>
    </w:p>
    <w:p>
      <w:pPr>
        <w:pStyle w:val="Heading3"/>
      </w:pPr>
      <w:r>
        <w:t>Definition 3.3 (Spend-to-Reward Ratio,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S2R is interpreted as a fiscal sustainability indicator: for a given reward policy, higher S2R implies tighter coupling between usage/value and issuance.</w:t>
      </w:r>
    </w:p>
    <w:p>
      <w:pPr>
        <w:pStyle w:val="Heading3"/>
      </w:pPr>
      <w:r>
        <w:t>Definition 3.4 (Legitimacy Constraint Set)</w:t>
      </w:r>
    </w:p>
    <w:p>
      <w:r>
        <w:rPr/>
        <w:t>Let (ℒ) denote a set of legitimacy constraints derived from political philosophy, such as:</w:t>
      </w:r>
    </w:p>
    <w:p>
      <w:r>
        <w:rPr>
          <w:b/>
        </w:rPr>
        <w:t>Publicity constraint (Kant): rule changes and enforcement must be publicly avowable and procedurally transparent.</w:t>
      </w:r>
      <w:r>
        <w:rPr/>
      </w:r>
    </w:p>
    <w:p>
      <w:r>
        <w:rPr>
          <w:b/>
        </w:rPr>
        <w:t>Non-domination constraint (republican): agents must not be subject to arbitrary interference; contestability must exist.</w:t>
      </w:r>
      <w:r>
        <w:rPr/>
      </w:r>
    </w:p>
    <w:p>
      <w:r>
        <w:rPr>
          <w:b/>
        </w:rPr>
        <w:t>Floor constraint (Rawlsian maximin, capabilities): policies must avoid worsening prospects for the least advantaged and ideally improve capabilities.</w:t>
      </w:r>
      <w:r>
        <w:rPr/>
      </w:r>
    </w:p>
    <w:p>
      <w:r>
        <w:rPr>
          <w:b/>
        </w:rPr>
        <w:t>Contextual integrity constraint: information flows must conform to context-appropriate norms.</w:t>
      </w:r>
      <w:r>
        <w:rPr/>
      </w:r>
    </w:p>
    <w:p>
      <w:r>
        <w:rPr/>
        <w:t>A system is legitimacy-feasible if (Π) and (ℰ) satisfy (ℒ) under plausible adversarial conditions.</w:t>
      </w:r>
    </w:p>
    <w:p>
      <w:pPr>
        <w:pStyle w:val="Heading3"/>
      </w:pPr>
      <w:r>
        <w:t>Definition 3.5 (Outcome Domains)</w:t>
      </w:r>
    </w:p>
    <w:p>
      <w:r>
        <w:rPr/>
        <w:t>Outcomes are grouped into three domains:</w:t>
      </w:r>
    </w:p>
    <w:p>
      <w:r>
        <w:rPr>
          <w:b/>
        </w:rPr>
        <w:t>Economic</w:t>
      </w:r>
      <w:r>
        <w:rPr/>
        <w:t>: sustainability (revenue/fees), market quality (liquidity depth/slippage), resilience (drawdowns and recovery), efficiency.</w:t>
      </w:r>
    </w:p>
    <w:p>
      <w:r>
        <w:rPr>
          <w:b/>
        </w:rPr>
        <w:t>Political</w:t>
      </w:r>
      <w:r>
        <w:rPr/>
        <w:t>: participation, concentration (HHI/Gini), procedural justice (appeals, timelocks), rule stability.</w:t>
      </w:r>
    </w:p>
    <w:p>
      <w:r>
        <w:rPr>
          <w:b/>
        </w:rPr>
        <w:t>Social</w:t>
      </w:r>
      <w:r>
        <w:rPr/>
        <w:t>: capability gains, inclusion (geographic and socioeconomic), safety, privacy-preserving participation.</w:t>
      </w:r>
    </w:p>
    <w:p>
      <w:pPr>
        <w:pStyle w:val="Heading2"/>
      </w:pPr>
      <w:r>
        <w:t>3.3 Conceptual Model: From Philosophy to Mechanisms to Outcomes</w:t>
      </w:r>
    </w:p>
    <w:p>
      <w:pPr>
        <w:pStyle w:val="Heading3"/>
      </w:pPr>
      <w:r>
        <w:t>The conceptual model of tokenomics as applied political philosophy (developed in Section 3)</w:t>
      </w:r>
    </w:p>
    <w:p>
      <w:pPr>
        <w:jc w:val="center"/>
      </w:pPr>
      <w:r>
        <w:drawing>
          <wp:inline xmlns:a="http://schemas.openxmlformats.org/drawingml/2006/main" xmlns:pic="http://schemas.openxmlformats.org/drawingml/2006/picture" distT="0" distB="0" distL="0" distR="0">
            <wp:extent cx="5068482" cy="6099367"/>
            <wp:docPr id="2" name="Figure 2"/>
            <a:graphic>
              <a:graphicData uri="http://schemas.openxmlformats.org/drawingml/2006/picture">
                <pic:pic>
                  <pic:nvPicPr>
                    <pic:cNvPr id="2" name="Figure 2"/>
                    <pic:cNvPicPr/>
                  </pic:nvPicPr>
                  <pic:blipFill>
                    <a:blip r:embed="rId11"/>
                    <a:stretch>
                      <a:fillRect/>
                    </a:stretch>
                  </pic:blipFill>
                  <pic:spPr>
                    <a:xfrm>
                      <a:off x="0" y="0"/>
                      <a:ext cx="5068482" cy="6099367"/>
                    </a:xfrm>
                    <a:prstGeom prst="rect">
                      <a:avLst/>
                    </a:prstGeom>
                  </pic:spPr>
                </pic:pic>
              </a:graphicData>
            </a:graphic>
          </wp:inline>
        </w:drawing>
      </w:r>
    </w:p>
    <w:p>
      <w:r>
        <w:rPr>
          <w:i/>
          <w:sz w:val="20"/>
        </w:rPr>
        <w:t>Figure 2. 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p>
    <w:p>
      <w:r>
        <w:rPr/>
        <w:t>The model’s purpose is explanatory and testable: it identifies where philosophical principles enter as constraints, how they shape design choices, and how those design choices influence outcomes through strategic behavior and system dynamics.</w:t>
      </w:r>
    </w:p>
    <w:p>
      <w:pPr>
        <w:pStyle w:val="Heading2"/>
      </w:pPr>
      <w:r>
        <w:t>3.4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Heading3"/>
      </w:pPr>
      <w:r>
        <w:t>Hypothesis 3.1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br/>
        <w:t>Justification: Kant’s publicity principle suggests that political maxims requiring secrecy to succeed are illegitimate; in token systems, secrecy increases perceived arbitrariness and reduces willingness to invest in the future under rule uncertainty.</w:t>
      </w:r>
      <w:r>
        <w:rPr/>
      </w:r>
    </w:p>
    <w:p>
      <w:r>
        <w:rPr/>
        <w:t>Motivating evidence: Ethereum’s base layer exemplifies Kantian publicity in practice. With a hard-coded fee burn mechanism (EIP-1559) and immutable consensus rules, the network processed approximately 383 million transactions in 2023 (CoinGecko, 2026) with zero rollbacks or reversals. Bitcoin’s hard 21 million supply cap (the most transparent monetary rule in any financial system) has attracted over 100 million owners by 2025 (CoinGecko, 2026). In both cases, credible neutrality (no exceptions, no privileged actors) correlates with sustained trust and participation at scale.</w:t>
      </w:r>
    </w:p>
    <w:p>
      <w:pPr>
        <w:pStyle w:val="Heading3"/>
      </w:pPr>
      <w:r>
        <w:t>Hypothesis 3.2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br/>
        <w:t>Justification: Republican freedom as non-domination requires protection against arbitrary interference; appeals and oversight operationalize that requirement by constraining enforcement discretion.</w:t>
      </w:r>
      <w:r>
        <w:rPr/>
      </w:r>
    </w:p>
    <w:p>
      <w:r>
        <w:rPr>
          <w:i/>
        </w:rPr>
        <w:t>Motivating evidence:</w:t>
      </w:r>
      <w:r>
        <w:rPr/>
        <w:t xml:space="preserve"> The Steem-to-Hive fork of March 2020 provides a vivid natural experiment. When Tron’s Justin Sun used custodial exchange votes to seize governance control of the Steem DAO, the community exercised its ultimate contestability mechanism: forking to Hive and stripping the acquirer’s 70 million STEEM stake (Barbereau et al., 2023). Within weeks, HIVE tokens traded at parity with or above STEEM, demonstrating that communities can mobilize credible exit when non-domination norms are breached. Optimism’s 2023 bicameral governance structure (Token House plus Citizens’ House with one-person-one-vote) illustrates institutional contestability by design: the Citizens’ House allocated 10 million OP (approximately $18 million) to public goods in its first year (Optimism, 2024), creating a structural check on token-weighted plutocracy.</w:t>
      </w:r>
    </w:p>
    <w:p>
      <w:pPr>
        <w:pStyle w:val="Heading3"/>
      </w:pPr>
      <w:r>
        <w:t>Hypothesis 3.3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br/>
        <w:t>Justification: In repeated interaction settings, participants discount future rewards when dilution is unconstrained; sinks create credible coupling between real usage and token scarcity/treasury strength.</w:t>
      </w:r>
      <w:r>
        <w:rPr/>
      </w:r>
    </w:p>
    <w:p>
      <w:r>
        <w:rPr/>
        <w:t>Motivating evidence: Ethereum’s EIP-1559 fee burn removed over 5.3 million ETH (approximately $9 billion) between August 2021 and November 2025 (Dune Analytics, 2026), producing net deflation of -0.108% per year after the Merge. OlympusDAO offered over 1,000% APY with no meaningful sink; OHM collapsed by more than 99% (from approximately $1,300 to below $10; CoinGecko, 2026). Terra’s TerraUSD (UST) collapse in May 2022 is the extreme case: within 72 hours, the stablecoin depegged to $0.08 while over 6 trillion LUNA were minted, vaporizing approximately $60 billion in combined LUNA and UST market capitalization (Liu, Makarov, &amp; Schoar, 2023; CoinGecko historical data). These cases validate the Prime Directive: protocols establishing sinks proportional to usage before scaling emissions exhibit dramatically different durability trajectories.</w:t>
      </w:r>
    </w:p>
    <w:p>
      <w:r>
        <w:rPr/>
        <w:t>The DePIN sector provides additional confirmation: by year-end 2025, GEODNET's S2R reached 0.379 by March 2026, with token burns absorbing 36% of monthly emissions (Dune Analytics) while Helium's annual inflation fell below 2% (Bane &amp; Gala, 2026), demonstrating that mature protocols converge on deflationary dynamics when demand-side sinks outpace supply-side rewards.</w:t>
      </w:r>
    </w:p>
    <w:p>
      <w:pPr>
        <w:pStyle w:val="Heading3"/>
      </w:pPr>
      <w:r>
        <w:t>Hypothesis 3.4 (Service over Presence in DePIN)</w:t>
      </w:r>
    </w:p>
    <w:p>
      <w:r>
        <w:rPr>
          <w:b/>
        </w:rPr>
        <w:t>In DePIN settings, shifting reward weight from “presence/coverage” to “SLA-verified service delivered”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r>
        <w:rPr/>
        <w:t>Motivating evidence: Helium’s trajectory from 2019 to 2025 demonstrates this hypothesis. By late 2022, presence-based token incentives drove deployment of approximately 975,000 IoT hotspots globally (Dune Analytics, 2026), yet actual data usage was negligible: generating approximately $6,500 per month in data transfer revenue across the entire IoT hotspot fleet (Shapira, 2022; Haleem, 2022). The reward split (80% coverage mining, 20% data transfer) yielded an S2R of approximately 0.007. After pivoting to 5G with service-verified rewards, annualized revenue reached $18.3 million by Q3 2025 with 1.2 million daily active users (Bane &amp; Gala, 2026), and S2R rose to approximately 0.18.</w:t>
      </w:r>
    </w:p>
    <w:p>
      <w:pPr>
        <w:pStyle w:val="Heading3"/>
      </w:pPr>
      <w:r>
        <w:t>Hypothesis 3.5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br/>
        <w:t>Justification: Ostrom’s polycentric governance emphasizes multiple overlapping decision centers as an efficient response to complex systems.</w:t>
      </w:r>
      <w:r>
        <w:rPr/>
      </w:r>
    </w:p>
    <w:p>
      <w:r>
        <w:rPr/>
        <w:t>Motivating evidence: The Cosmos IBC ecosystem grew from approximately 50 to over 115 interconnected blockchains between 2024 and 2025 , each with local governance and tokenomics (Cosmos, 2026). Polkadot hosts approximately 40 live parachains, and its on-chain treasury funded over 200 proposals ($21 million in 2023, $87 million in H1 2024; OpenGov.Watch, 2024). Individual chain failures did not propagate systemically, confirming the resilience advantage of federated architectures over monolithic alternatives.</w:t>
      </w:r>
    </w:p>
    <w:p>
      <w:pPr>
        <w:pStyle w:val="Heading2"/>
      </w:pPr>
      <w:r>
        <w:t>3.5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 can frame tokenomics as incentive-aligned security and reliability engineering where verification systems (ℳ) are first-class determinants of institutional feasibility.</w:t>
      </w:r>
      <w:r>
        <w:rPr/>
      </w:r>
    </w:p>
    <w:p>
      <w:r>
        <w:rPr>
          <w:b/>
        </w:rPr>
        <w:t>STS and law</w:t>
      </w:r>
      <w:r>
        <w:rPr/>
        <w:t xml:space="preserve"> can analyze how “code as governance” transforms legitimacy, accountability, and liability structures, and how transparency and contestability affect social acceptance.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Lens</w:t>
            </w:r>
          </w:p>
        </w:tc>
        <w:tc>
          <w:tcPr>
            <w:tcW w:type="dxa" w:w="1728"/>
          </w:tcPr>
          <w:p>
            <w:r>
              <w:rPr>
                <w:b/>
              </w:rPr>
              <w:t>0 (Absent)</w:t>
            </w:r>
          </w:p>
        </w:tc>
        <w:tc>
          <w:tcPr>
            <w:tcW w:type="dxa" w:w="1728"/>
          </w:tcPr>
          <w:p>
            <w:r>
              <w:rPr>
                <w:b/>
              </w:rPr>
              <w:t>1 (Minimal)</w:t>
            </w:r>
          </w:p>
        </w:tc>
        <w:tc>
          <w:tcPr>
            <w:tcW w:type="dxa" w:w="1728"/>
          </w:tcPr>
          <w:p>
            <w:r>
              <w:rPr>
                <w:b/>
              </w:rPr>
              <w:t>2 (Partial)</w:t>
            </w:r>
          </w:p>
        </w:tc>
        <w:tc>
          <w:tcPr>
            <w:tcW w:type="dxa" w:w="1728"/>
          </w:tcPr>
          <w:p>
            <w:r>
              <w:rPr>
                <w:b/>
              </w:rPr>
              <w:t>3 (Exemplary)</w:t>
            </w:r>
          </w:p>
        </w:tc>
        <w:trPr>
          <w:tblHeader/>
        </w:trPr>
      </w:tr>
      <w:tr>
        <w:tc>
          <w:tcPr>
            <w:tcW w:type="dxa" w:w="1728"/>
          </w:tcPr>
          <w:p>
            <w:r>
              <w:t>Kantian Publicity</w:t>
            </w:r>
          </w:p>
        </w:tc>
        <w:tc>
          <w:tcPr>
            <w:tcW w:type="dxa" w:w="1728"/>
          </w:tcPr>
          <w:p>
            <w:r>
              <w:t>No public governance docs</w:t>
            </w:r>
          </w:p>
        </w:tc>
        <w:tc>
          <w:tcPr>
            <w:tcW w:type="dxa" w:w="1728"/>
          </w:tcPr>
          <w:p>
            <w:r>
              <w:t>Rules exist but hard to find</w:t>
            </w:r>
          </w:p>
        </w:tc>
        <w:tc>
          <w:tcPr>
            <w:tcW w:type="dxa" w:w="1728"/>
          </w:tcPr>
          <w:p>
            <w:r>
              <w:t>Public rules + rationale</w:t>
            </w:r>
          </w:p>
        </w:tc>
        <w:tc>
          <w:tcPr>
            <w:tcW w:type="dxa" w:w="1728"/>
          </w:tcPr>
          <w:p>
            <w:r>
              <w:t>Public rules + deliberation + justification</w:t>
            </w:r>
          </w:p>
        </w:tc>
      </w:tr>
      <w:tr>
        <w:tc>
          <w:tcPr>
            <w:tcW w:type="dxa" w:w="1728"/>
          </w:tcPr>
          <w:p>
            <w:r>
              <w:t>Rawlsian Fairness</w:t>
            </w:r>
          </w:p>
        </w:tc>
        <w:tc>
          <w:tcPr>
            <w:tcW w:type="dxa" w:w="1728"/>
          </w:tcPr>
          <w:p>
            <w:r>
              <w:t>No floor-raising mechanism</w:t>
            </w:r>
          </w:p>
        </w:tc>
        <w:tc>
          <w:tcPr>
            <w:tcW w:type="dxa" w:w="1728"/>
          </w:tcPr>
          <w:p>
            <w:r>
              <w:t>Basic airdrop only</w:t>
            </w:r>
          </w:p>
        </w:tc>
        <w:tc>
          <w:tcPr>
            <w:tcW w:type="dxa" w:w="1728"/>
          </w:tcPr>
          <w:p>
            <w:r>
              <w:t>Graduated fee tiers or grants</w:t>
            </w:r>
          </w:p>
        </w:tc>
        <w:tc>
          <w:tcPr>
            <w:tcW w:type="dxa" w:w="1728"/>
          </w:tcPr>
          <w:p>
            <w:r>
              <w:t>Systematic equity mechanisms + measured gaps</w:t>
            </w:r>
          </w:p>
        </w:tc>
      </w:tr>
      <w:tr>
        <w:tc>
          <w:tcPr>
            <w:tcW w:type="dxa" w:w="1728"/>
          </w:tcPr>
          <w:p>
            <w:r>
              <w:t>Pettit Contestation</w:t>
            </w:r>
          </w:p>
        </w:tc>
        <w:tc>
          <w:tcPr>
            <w:tcW w:type="dxa" w:w="1728"/>
          </w:tcPr>
          <w:p>
            <w:r>
              <w:t>No appeals or checks</w:t>
            </w:r>
          </w:p>
        </w:tc>
        <w:tc>
          <w:tcPr>
            <w:tcW w:type="dxa" w:w="1728"/>
          </w:tcPr>
          <w:p>
            <w:r>
              <w:t>Informal complaints possible</w:t>
            </w:r>
          </w:p>
        </w:tc>
        <w:tc>
          <w:tcPr>
            <w:tcW w:type="dxa" w:w="1728"/>
          </w:tcPr>
          <w:p>
            <w:r>
              <w:t>Formal appeal mechanism exists</w:t>
            </w:r>
          </w:p>
        </w:tc>
        <w:tc>
          <w:tcPr>
            <w:tcW w:type="dxa" w:w="1728"/>
          </w:tcPr>
          <w:p>
            <w:r>
              <w:t>Independent arbitration + veto rights</w:t>
            </w:r>
          </w:p>
        </w:tc>
      </w:tr>
      <w:tr>
        <w:tc>
          <w:tcPr>
            <w:tcW w:type="dxa" w:w="1728"/>
          </w:tcPr>
          <w:p>
            <w:r>
              <w:t>Ostrom Polycentricity</w:t>
            </w:r>
          </w:p>
        </w:tc>
        <w:tc>
          <w:tcPr>
            <w:tcW w:type="dxa" w:w="1728"/>
          </w:tcPr>
          <w:p>
            <w:r>
              <w:t>Single decision center</w:t>
            </w:r>
          </w:p>
        </w:tc>
        <w:tc>
          <w:tcPr>
            <w:tcW w:type="dxa" w:w="1728"/>
          </w:tcPr>
          <w:p>
            <w:r>
              <w:t>Advisory subcommittees</w:t>
            </w:r>
          </w:p>
        </w:tc>
        <w:tc>
          <w:tcPr>
            <w:tcW w:type="dxa" w:w="1728"/>
          </w:tcPr>
          <w:p>
            <w:r>
              <w:t>Functional subDAOs with budgets</w:t>
            </w:r>
          </w:p>
        </w:tc>
        <w:tc>
          <w:tcPr>
            <w:tcW w:type="dxa" w:w="1728"/>
          </w:tcPr>
          <w:p>
            <w:r>
              <w:t>Nested governance with local autonomy</w:t>
            </w:r>
          </w:p>
        </w:tc>
      </w:tr>
      <w:tr>
        <w:tc>
          <w:tcPr>
            <w:tcW w:type="dxa" w:w="1728"/>
          </w:tcPr>
          <w:p>
            <w:r>
              <w:t>Hayek Knowledge</w:t>
            </w:r>
          </w:p>
        </w:tc>
        <w:tc>
          <w:tcPr>
            <w:tcW w:type="dxa" w:w="1728"/>
          </w:tcPr>
          <w:p>
            <w:r>
              <w:t>Fixed parameters</w:t>
            </w:r>
          </w:p>
        </w:tc>
        <w:tc>
          <w:tcPr>
            <w:tcW w:type="dxa" w:w="1728"/>
          </w:tcPr>
          <w:p>
            <w:r>
              <w:t>Admin-adjusted parameters</w:t>
            </w:r>
          </w:p>
        </w:tc>
        <w:tc>
          <w:tcPr>
            <w:tcW w:type="dxa" w:w="1728"/>
          </w:tcPr>
          <w:p>
            <w:r>
              <w:t>Automated price signals</w:t>
            </w:r>
          </w:p>
        </w:tc>
        <w:tc>
          <w:tcPr>
            <w:tcW w:type="dxa" w:w="1728"/>
          </w:tcPr>
          <w:p>
            <w:r>
              <w:t>Demand-coupled mechanisms + edge feedback</w:t>
            </w:r>
          </w:p>
        </w:tc>
      </w:tr>
    </w:tbl>
    <w:p>
      <w:r>
        <w:rPr/>
        <w:t>Table 1. 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xmlns:a="http://schemas.openxmlformats.org/drawingml/2006/main" xmlns:pic="http://schemas.openxmlformats.org/drawingml/2006/picture">
            <wp:extent cx="5303520" cy="3784061"/>
            <wp:docPr id="1" name="Picture 1"/>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i/>
          <w:sz w:val="18"/>
        </w:rPr>
        <w:t>Figure 3. Normative framework architecture: five philosophical lenses are operationalized through a scoring rubric into five testable design hypotheses. Dashed arrow indicates the empirical feedback loop from governance concentration evidence (Section 5) and case evidence developed separately.</w:t>
      </w:r>
    </w:p>
    <w:p>
      <w:pPr>
        <w:pStyle w:val="Heading1"/>
      </w:pPr>
      <w:r>
        <w:t>4. Framework Operationalization</w:t>
      </w:r>
    </w:p>
    <w:p>
      <w:pPr>
        <w:pStyle w:val="Heading2"/>
      </w:pPr>
      <w:r>
        <w:t>4.1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35 sampled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2"/>
      </w:pPr>
      <w:r>
        <w:t>4.2 Units of Analysis and Sampling Strategy</w:t>
      </w:r>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Protocols were selected to maximize variation across three dimensions: sector (13 DeFi, 12 DePIN, 8 L1/L2 infrastructure, 2 survivorship-bias controls), maturity (2017-2024 launches), and governance model (token-weighted, delegate, futarchy). The expanded 38-protocol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Solana-native tokens (META, DRIFT, GRASS, W) were collected via Helius getTokenAccounts API to address systematic undercounting in Dune's solana_utils.daily_balances table, which returned 29-291 holders versus 5,067-99,980 from direct RPC enumeration.</w:t>
      </w:r>
    </w:p>
    <w:p>
      <w:r>
        <w:rPr>
          <w:i/>
          <w:sz w:val="18"/>
        </w:rPr>
        <w:t>Figure 4. Holding-based Herfindahl-Hirschman Index (HHI) across 35 governance tokens (March 2026 snapshot, top-1,000 holders, protocol-controlled addresses excluded). Dashed lines indicate category means. Protocols sorted by category then HHI ascending.</w:t>
      </w:r>
    </w:p>
    <w:p>
      <w:r>
        <w:t>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confirming that low concentration is achievable in hardware-coordination protocols.</w:t>
      </w:r>
    </w:p>
    <w:p>
      <w:r>
        <w:rPr/>
        <w:t>Sampling principles: include multiple categories (L1/L2, DeFi, infra/oracles, DePIN, social)</w:t>
      </w:r>
    </w:p>
    <w:p>
      <w:r>
        <w:rPr/>
        <w:t>include “dead” or stagnated projects to reduce survivorship bias</w:t>
      </w:r>
    </w:p>
    <w:p>
      <w:r>
        <w:rPr/>
        <w:t>stratify by chain and epoch to control for regime effects</w:t>
      </w:r>
    </w:p>
    <w:p>
      <w:pPr>
        <w:pStyle w:val="Heading2"/>
      </w:pPr>
      <w:r>
        <w:t>4.3 Data Sources (Replicable, Multi-Disciplinary)</w:t>
      </w:r>
    </w:p>
    <w:p>
      <w:r>
        <w:rPr/>
        <w:t>Four data streams inform the analysis: on-chain data (transactions, staking, governance votes, treasury)</w:t>
      </w:r>
    </w:p>
    <w:p>
      <w:r>
        <w:rPr/>
        <w:t>protocol documentation (whitepapers, governance forums, parameter docs)</w:t>
      </w:r>
    </w:p>
    <w:p>
      <w:r>
        <w:rPr/>
        <w:t>analytic aggregators (where replicable and with clear definitions)</w:t>
      </w:r>
    </w:p>
    <w:p>
      <w:r>
        <w:rPr/>
        <w:t>public academic and policy sources (e.g., BIS)</w:t>
      </w:r>
    </w:p>
    <w:p>
      <w:r>
        <w:rPr/>
        <w:t>Data-definition consistency is a first-class problem; transformations and assumptions are documented in supplementary materials.</w:t>
      </w:r>
    </w:p>
    <w:p>
      <w:r>
        <w:t>A systematic data coverage gap between DeFi and DePIN protocols constrains cross-sector regression analysis. Token Terminal, the primary source for protocol-level financial metrics, covers 100% of DeFi protocols in the sample but only 58% of DePIN protocols for revenue and 25% for subsidy ratio. Where DePIN coverage exists, the revenue definitions may not capture hardware network economics: Token Terminal classifies Livepeer's annualized revenue as $0 despite the protocol processing $23.8 million in on-chain LPT burns over the trailing 12 months, and reports IoTeX at $88,000 in annual revenue with $3.4 million in token incentives. To address this gap, on-chain subsidy ratios for 11 DePIN protocols were computed from protocol-native revenue events (Data Credit burns for Helium, LPT burns for Livepeer, DIMO token burns for DIMO, GEOD burns for GEODNET, MOR burns for Morpheus, and equivalent measures for Filecoin, Render, and POKT), providing a measurement approach consistent across both sectors. Statistical analyses use R 4.4+ with the oaxaca package (1,000 bootstrap replications) for decomposition and OLS with heteroscedasticity-robust standard errors for regression.</w:t>
      </w:r>
    </w:p>
    <w:p>
      <w:r>
        <w:t xml:space="preserve">Aethir illustrates the inverse limitation: despite generating the highest DePIN revenue in the sample ($111M annualized from 150+ enterprise AI and gaming clients), its governance token (ATH) has an HHI of 0.168, the second highest in the DePIN subsample. Aethir's subsidy ratio of 0.36x (revenue far exceeds emissions) places it at the opposite extreme from Livepeer (88.5x), yet both exhibit high governance concentration. This decoupling of financial health from governance decentralization underscores that concentration is driven by initial allocation and vesting structures, not by subsidy dependence.</w:t>
      </w:r>
    </w:p>
    <w:p>
      <w:r>
        <w:rPr/>
        <w:t>Financial covariates (revenue, treasury, market capitalization) are sourced from Token Terminal, DeFiLlama, and CoinGecko APIs and are subject to each aggregator's coverage limitations. Token allocation data were compiled from official protocol documentation and verified against Tokenomist for all 38 protocols; source URLs are documented in the replication package. Two protocols (MetaDAO, Token Engineering Commons) use non-standard allocation models that cannot be mapped to team/investor/community buckets and are excluded from the allocation regression. Treasury data is available from DeFiLlama for DeFi and L1/L2 infrastructure protocols but not for DePIN protocols, which manage treasury through multisig wallets not indexed by aggregators. DePIN network device counts are sourced from DePINScan, Messari quarterly reports, and protocol explorers; these counts are point-in-time snapshots subject to measurement differences across implementations (e.g., Helium separates IoT and Mobile subnetworks; Filecoin distinguishes active storage providers from historical registrations; Livepeer caps its active orchestrator set at 100 by protocol design).</w:t>
      </w:r>
    </w:p>
    <w:p>
      <w:pPr>
        <w:pStyle w:val="Heading2"/>
      </w:pPr>
      <w:r>
        <w:t>4.4 Codebook and Rubric</w:t>
      </w:r>
    </w:p>
    <w:p>
      <w:r>
        <w:rPr/>
        <w:t>We code each protocol across standardized dimensions via a machine-readable table (Supplementary File S1). It contains fields grouped into the following blocks:</w:t>
      </w:r>
    </w:p>
    <w:p>
      <w:r>
        <w:rPr>
          <w:b/>
        </w:rPr>
        <w:t>Metadata</w:t>
      </w:r>
      <w:r>
        <w:rPr/>
        <w:t>: protocol_id, chain, category, docs, forum.</w:t>
      </w:r>
    </w:p>
    <w:p>
      <w:r>
        <w:rPr>
          <w:b/>
        </w:rPr>
        <w:t>Supply/Issuance</w:t>
      </w:r>
      <w:r>
        <w:rPr/>
        <w:t>: emission model, max supply, inflation rate, decay rule, vesting months, unlock schedule.</w:t>
      </w:r>
    </w:p>
    <w:p>
      <w:r>
        <w:rPr>
          <w:b/>
        </w:rPr>
        <w:t>Distribution</w:t>
      </w:r>
      <w:r>
        <w:rPr/>
        <w:t>: team/investor/community allocations; airdrop method; sybil defenses.</w:t>
      </w:r>
    </w:p>
    <w:p>
      <w:r>
        <w:rPr>
          <w:b/>
        </w:rPr>
        <w:t>Value routing and sinks</w:t>
      </w:r>
      <w:r>
        <w:rPr/>
        <w:t>: fee switch, burn/buyback rules, treasury routing.</w:t>
      </w:r>
    </w:p>
    <w:p>
      <w:r>
        <w:rPr>
          <w:b/>
        </w:rPr>
        <w:t>Staking/locks</w:t>
      </w:r>
      <w:r>
        <w:rPr/>
        <w:t>: staking enabled, lockups, unbonding, slashing.</w:t>
      </w:r>
    </w:p>
    <w:p>
      <w:r>
        <w:rPr>
          <w:b/>
        </w:rPr>
        <w:t>Governance architecture</w:t>
      </w:r>
      <w:r>
        <w:rPr/>
        <w:t>: on/off-chain, delegation, thresholds, quorums, timelocks, veto/guardian.; Participation costs: cost-to-meaningful-voice proxies.</w:t>
      </w:r>
    </w:p>
    <w:p>
      <w:r>
        <w:rPr>
          <w:b/>
        </w:rPr>
        <w:t>Decentralization</w:t>
      </w:r>
      <w:r>
        <w:rPr/>
        <w:t>: validator count, Nakamoto-like metrics, concentration measures.</w:t>
      </w:r>
    </w:p>
    <w:p>
      <w:r>
        <w:rPr>
          <w:b/>
        </w:rPr>
        <w:t>Incentives</w:t>
      </w:r>
      <w:r>
        <w:rPr/>
        <w:t>: liquidity mining windows, decay rules, proof-of-action.</w:t>
      </w:r>
    </w:p>
    <w:p>
      <w:r>
        <w:rPr>
          <w:b/>
        </w:rPr>
        <w:t>Data/identity</w:t>
      </w:r>
      <w:r>
        <w:rPr/>
        <w:t>: identity posture, privacy policy references.</w:t>
      </w:r>
    </w:p>
    <w:p>
      <w:r>
        <w:rPr/>
        <w:t>A protocol row also stores computed philosophy lens scores (0–3) and evidence links.</w:t>
      </w:r>
    </w:p>
    <w:p>
      <w:pPr>
        <w:pStyle w:val="Heading2"/>
      </w:pPr>
      <w:r>
        <w:t>4.5 Philosophy Scoring Rubric: Translating Normative Theory into Observable Criteria</w:t>
      </w:r>
    </w:p>
    <w:p>
      <w:r>
        <w:rPr/>
        <w:t>The scoring rubric is a second machine-readable table (Supplementary File S2). It contains: lens_id, criterion_id, criterion definition</w:t>
      </w:r>
    </w:p>
    <w:p>
      <w:r>
        <w:rPr/>
        <w:t>a 0–3 scoring scale for each criterion; default weights</w:t>
      </w:r>
    </w:p>
    <w:p>
      <w:r>
        <w:rPr/>
        <w:t>A third table (Supplementary File S3) stores protocol × criterion scores with evidence links, scorer initials, and dates.</w:t>
      </w:r>
    </w:p>
    <w:p>
      <w:pPr>
        <w:pStyle w:val="Heading3"/>
      </w:pPr>
      <w:r>
        <w:t>4.5.1 Scoring Procedure</w:t>
      </w:r>
    </w:p>
    <w:p>
      <w:r>
        <w:rPr/>
        <w:t>Evidence links (docs, forums, code references) anchor each protocol’s coding; for each protocol, gather (docs, forums, code references)</w:t>
      </w:r>
    </w:p>
    <w:p>
      <w:r>
        <w:rPr/>
        <w:t>score each criterion 0–3</w:t>
      </w:r>
    </w:p>
    <w:p>
      <w:r>
        <w:rPr/>
        <w:t>compute lens score as weighted mean</w:t>
      </w:r>
    </w:p>
    <w:p>
      <w:r>
        <w:rPr/>
        <w:t>compute an overall Synergy Index as weighted mean across lenses (weights pre-specified)</w:t>
      </w:r>
    </w:p>
    <w:p>
      <w:pPr>
        <w:pStyle w:val="Heading3"/>
      </w:pPr>
      <w:r>
        <w:t>4.5.2 Reliability and Validity</w:t>
      </w:r>
    </w:p>
    <w:p>
      <w:r>
        <w:rPr/>
        <w:t>Double-code ≥10% of protocols to estimate inter-rater reliability (e.g., Cohen’s κ).</w:t>
      </w:r>
    </w:p>
    <w:p>
      <w:r>
        <w:rPr/>
        <w:t>Use adjudication rules where κ is low.</w:t>
      </w:r>
    </w:p>
    <w:p>
      <w:r>
        <w:rPr/>
        <w:t>Validate construct validity by comparing rubric scores to independent indicators (e.g., governance concentration, frequency of rule changes, appeals outcomes).</w:t>
      </w:r>
    </w:p>
    <w:p>
      <w:r>
        <w:rPr/>
        <w:t>This operationalization is explicitly designed to be legible across disciplines: political philosophy criteria are mapped to measurable institutional features (appeals, publicity, concentration), enabling empirical tests.</w:t>
      </w:r>
    </w:p>
    <w:p>
      <w:pPr>
        <w:pStyle w:val="Heading3"/>
      </w:pPr>
      <w:r>
        <w:t>4.5.3 Illustrative Scoring</w:t>
      </w:r>
    </w:p>
    <w:p>
      <w:r>
        <w:t xml:space="preserve">Table 2 demonstrates the rubric applied to three protocols spanning the DeFi–DePIN divide. Full scoring sheets for all 11 scored protocols, with evidence links, are provided in Supplementary File S3. Scores are assigned by a single coder; inter-rater reliability testing with a second scorer is specified as future work.</w:t>
      </w:r>
    </w:p>
    <w:tbl>
      <w:tblPr>
        <w:tblW w:type="dxa" w:w="936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080"/>
        <w:gridCol w:w="1080"/>
        <w:gridCol w:w="1200"/>
        <w:gridCol w:w="1200"/>
        <w:gridCol w:w="1080"/>
        <w:gridCol w:w="1920"/>
      </w:tblGrid>
      <w:tr>
        <w:tc>
          <w:tcPr>
            <w:tcW w:type="dxa" w:w="1800"/>
            <w:shd w:val="clear" w:fill="D9E2F3"/>
          </w:tcPr>
          <w:p>
            <w:r>
              <w:rPr>
                <w:b/>
                <w:sz w:val="18"/>
              </w:rPr>
              <w:t>Protocol</w:t>
            </w:r>
          </w:p>
        </w:tc>
        <w:tc>
          <w:tcPr>
            <w:tcW w:type="dxa" w:w="1080"/>
            <w:shd w:val="clear" w:fill="D9E2F3"/>
          </w:tcPr>
          <w:p>
            <w:r>
              <w:rPr>
                <w:b/>
                <w:sz w:val="18"/>
              </w:rPr>
              <w:t>Publicity</w:t>
            </w:r>
          </w:p>
        </w:tc>
        <w:tc>
          <w:tcPr>
            <w:tcW w:type="dxa" w:w="1080"/>
            <w:shd w:val="clear" w:fill="D9E2F3"/>
          </w:tcPr>
          <w:p>
            <w:r>
              <w:rPr>
                <w:b/>
                <w:sz w:val="18"/>
              </w:rPr>
              <w:t>Fairness</w:t>
            </w:r>
          </w:p>
        </w:tc>
        <w:tc>
          <w:tcPr>
            <w:tcW w:type="dxa" w:w="1200"/>
            <w:shd w:val="clear" w:fill="D9E2F3"/>
          </w:tcPr>
          <w:p>
            <w:r>
              <w:rPr>
                <w:b/>
                <w:sz w:val="18"/>
              </w:rPr>
              <w:t xml:space="preserve">Non-Dom.</w:t>
            </w:r>
          </w:p>
        </w:tc>
        <w:tc>
          <w:tcPr>
            <w:tcW w:type="dxa" w:w="1200"/>
            <w:shd w:val="clear" w:fill="D9E2F3"/>
          </w:tcPr>
          <w:p>
            <w:r>
              <w:rPr>
                <w:b/>
                <w:sz w:val="18"/>
              </w:rPr>
              <w:t>Polycentric</w:t>
            </w:r>
          </w:p>
        </w:tc>
        <w:tc>
          <w:tcPr>
            <w:tcW w:type="dxa" w:w="1080"/>
            <w:shd w:val="clear" w:fill="D9E2F3"/>
          </w:tcPr>
          <w:p>
            <w:r>
              <w:rPr>
                <w:b/>
                <w:sz w:val="18"/>
              </w:rPr>
              <w:t>Knowledge</w:t>
            </w:r>
          </w:p>
        </w:tc>
        <w:tc>
          <w:tcPr>
            <w:tcW w:type="dxa" w:w="1920"/>
            <w:shd w:val="clear" w:fill="D9E2F3"/>
          </w:tcPr>
          <w:p>
            <w:r>
              <w:rPr>
                <w:b/>
                <w:sz w:val="18"/>
              </w:rPr>
              <w:t>Key evidence note</w:t>
            </w:r>
          </w:p>
        </w:tc>
        <w:trPr>
          <w:tblHeader/>
        </w:trPr>
      </w:tr>
      <w:tr>
        <w:tc>
          <w:tcPr>
            <w:tcW w:type="dxa" w:w="18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1920"/>
          </w:tcPr>
          <w:p>
            <w:r>
              <w:rPr>
                <w:sz w:val="18"/>
              </w:rPr>
              <w:t>Forum + Snapshot + on-chain vote; HHI 0.114; delegate concentration high</w:t>
            </w:r>
          </w:p>
        </w:tc>
      </w:tr>
      <w:tr>
        <w:tc>
          <w:tcPr>
            <w:tcW w:type="dxa" w:w="18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2</w:t>
            </w:r>
          </w:p>
        </w:tc>
        <w:tc>
          <w:tcPr>
            <w:tcW w:type="dxa" w:w="1080"/>
          </w:tcPr>
          <w:p>
            <w:r>
              <w:rPr>
                <w:sz w:val="18"/>
              </w:rPr>
              <w:t>2</w:t>
            </w:r>
          </w:p>
        </w:tc>
        <w:tc>
          <w:tcPr>
            <w:tcW w:type="dxa" w:w="1920"/>
          </w:tcPr>
          <w:p>
            <w:r>
              <w:rPr>
                <w:sz w:val="18"/>
              </w:rPr>
              <w:t>HIP process public; subDAO structure; HHI 0.102; HIP-147 reform</w:t>
            </w:r>
          </w:p>
        </w:tc>
      </w:tr>
      <w:tr>
        <w:tc>
          <w:tcPr>
            <w:tcW w:type="dxa" w:w="18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1920"/>
          </w:tcPr>
          <w:p>
            <w:r>
              <w:rPr>
                <w:sz w:val="18"/>
              </w:rPr>
              <w:t>Low HHI (0.040); early-stage governance; limited formal process</w:t>
            </w:r>
          </w:p>
        </w:tc>
      </w:tr>
    </w:tbl>
    <w:p>
      <w:r>
        <w:rPr>
          <w:i/>
          <w:sz w:val="18"/>
        </w:rPr>
        <w:t xml:space="preserve">Table 2. Illustrative rubric scores (0 = absent, 1 = minimal, 2 = partial, 3 = exemplary). Scores are by a single coder; full evidence sheets in Supplementary File S3.</w:t>
      </w:r>
    </w:p>
    <w:p>
      <w:pPr>
        <w:pStyle w:val="Heading2"/>
      </w:pPr>
      <w:r>
        <w:t>4.6 Outcome Variables</w:t>
      </w:r>
    </w:p>
    <w:p>
      <w:r>
        <w:rPr>
          <w:b w:val="0"/>
        </w:rPr>
        <w:t>The governance concentration analysis uses three primary metrics. We compute the Herfindahl-Hirschman Index (HHI) over the distribution of governance token holdings across unique addresses. HHI ranges from 0 (perfectly dispersed) to 1 (single holder); values above 0.25 indicate high concentration by antitrust standards. The Gini coefficient measures inequality in the same distribution, ranging from 0 (perfect equality) to 1 (maximum inequality). Top-N concentration ratios (Top-1, Top-5, Top-10 share) complement HHI by identifying specific whale addresses.</w:t>
      </w:r>
    </w:p>
    <w:p>
      <w:r>
        <w:rPr>
          <w:b w:val="0"/>
        </w:rPr>
        <w:t>The Synergy Index aggregates the philosophical lens scores (Section 3) into a composite measure of institutional design quality. For each protocol, the Synergy Index is the mean of the five lens scores (Kantian publicity, Rawlsian fairness, republican non-domination, Ostromian polycentricity, Hayekian knowledge-use), each scored 0 to 3 per the rubric in Table 1. The Index is designed to correlate with governance quality but is not a causal claim: a high Synergy Index reflects that a protocol's institutional design aligns with multiple normative traditions, not that such alignment causes good outcomes. Three additional normative dimensions discussed in the literature review (capabilities, contextual integrity, cosmopolitan inclusion) serve as future evaluation criteria but are not included in the Synergy Index due to incomplete and non-comparable measurement across protocols in the current sample.</w:t>
      </w:r>
    </w:p>
    <w:p>
      <w:r>
        <w:rPr>
          <w:b w:val="0"/>
        </w:rPr>
        <w:t>Full metric definitions, computation procedures, and Dune query specifications are provided in Supplementary File S1.</w:t>
      </w:r>
    </w:p>
    <w:p>
      <w:pPr>
        <w:pStyle w:val="Heading2"/>
      </w:pPr>
      <w:r>
        <w:t>4.7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5). The full quantitative pipeline, including panel regressions, event-study specifications, and robustness protocols, is documented in supplementary material (Supplementary File S5) for replication and extension by future researchers.</w:t>
      </w:r>
    </w:p>
    <w:p>
      <w:pPr>
        <w:pStyle w:val="Heading2"/>
      </w:pPr>
      <w:r>
        <w:t>4.8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discloses no financial positions in any protocol analyzed.</w:t>
      </w:r>
    </w:p>
    <w:p>
      <w:pPr>
        <w:pStyle w:val="Heading1"/>
      </w:pPr>
      <w:r>
        <w:t>5. Empirical Illustration: Governance Concentration</w:t>
      </w:r>
    </w:p>
    <w:p>
      <w:pPr>
        <w:pStyle w:val="Heading2"/>
      </w:pPr>
      <w:r>
        <w:t>5.1 Scope and Claims Boundary</w:t>
      </w:r>
    </w:p>
    <w:p>
      <w:r>
        <w:rPr>
          <w:b w:val="0"/>
        </w:rPr>
        <w:t>Claims boundary (Table 3): We execute one empirical analysis from the full pipeline specified in Section 4.7: a cross-sectional governance concentration comparison across 35 sampled protocols.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Section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Evidence Grade</w:t>
            </w:r>
          </w:p>
        </w:tc>
        <w:tc>
          <w:tcPr>
            <w:tcW w:type="dxa" w:w="2880"/>
          </w:tcPr>
          <w:p>
            <w:r>
              <w:rPr>
                <w:b/>
              </w:rPr>
              <w:t>Pointer</w:t>
            </w:r>
          </w:p>
        </w:tc>
      </w:tr>
      <w:tr>
        <w:tc>
          <w:tcPr>
            <w:tcW w:type="dxa" w:w="2880"/>
          </w:tcPr>
          <w:p>
            <w:r>
              <w:t>Governance concentration is descriptively higher in DePIN than DeFi</w:t>
            </w:r>
          </w:p>
        </w:tc>
        <w:tc>
          <w:tcPr>
            <w:tcW w:type="dxa" w:w="2880"/>
          </w:tcPr>
          <w:p>
            <w:r>
              <w:t>Descriptive</w:t>
            </w:r>
          </w:p>
        </w:tc>
        <w:tc>
          <w:tcPr>
            <w:tcW w:type="dxa" w:w="2880"/>
          </w:tcPr>
          <w:p>
            <w:r>
              <w:t>This paper, Table 4</w:t>
            </w:r>
          </w:p>
        </w:tc>
      </w:tr>
      <w:tr>
        <w:tc>
          <w:tcPr>
            <w:tcW w:type="dxa" w:w="2880"/>
          </w:tcPr>
          <w:p>
            <w:r>
              <w:t>The scoring rubric translates philosophy into measurement</w:t>
            </w:r>
          </w:p>
        </w:tc>
        <w:tc>
          <w:tcPr>
            <w:tcW w:type="dxa" w:w="2880"/>
          </w:tcPr>
          <w:p>
            <w:r>
              <w:t>Methodological</w:t>
            </w:r>
          </w:p>
        </w:tc>
        <w:tc>
          <w:tcPr>
            <w:tcW w:type="dxa" w:w="2880"/>
          </w:tcPr>
          <w:p>
            <w:r>
              <w:t>This paper, Table 1 + Supplementary File S1</w:t>
            </w:r>
          </w:p>
        </w:tc>
      </w:tr>
      <w:tr>
        <w:tc>
          <w:tcPr>
            <w:tcW w:type="dxa" w:w="2880"/>
          </w:tcPr>
          <w:p>
            <w:r>
              <w:t>Five core design hypotheses follow from the normative framework</w:t>
            </w:r>
          </w:p>
        </w:tc>
        <w:tc>
          <w:tcPr>
            <w:tcW w:type="dxa" w:w="2880"/>
          </w:tcPr>
          <w:p>
            <w:r>
              <w:t>Theoretical</w:t>
            </w:r>
          </w:p>
        </w:tc>
        <w:tc>
          <w:tcPr>
            <w:tcW w:type="dxa" w:w="2880"/>
          </w:tcPr>
          <w:p>
            <w:r>
              <w:t>This paper, Section 6.1</w:t>
            </w:r>
          </w:p>
        </w:tc>
      </w:tr>
    </w:tbl>
    <w:p>
      <w:r>
        <w:rPr>
          <w:b w:val="0"/>
          <w:i/>
        </w:rPr>
        <w:t>Table 3. Claims boundary: what this paper does and does not claim.</w:t>
      </w:r>
    </w:p>
    <w:p>
      <w:pPr>
        <w:pStyle w:val="Heading2"/>
      </w:pPr>
      <w:r>
        <w:t>5.2 Cross-Protocol Concentration</w:t>
      </w:r>
    </w:p>
    <w:p>
      <w:r>
        <w:rPr>
          <w:b w:val="0"/>
        </w:rPr>
        <w:t>Table 4 reports governance concentration for 38 protocols, computed from Dune Analytics multi-chain queries and Helius DAS API token holder distributions (March 2026 snapshot). We report address-holding concentration after excluding 56 protocol-controlled addresses across 17 protocols (see Section 5.1a). Solana-native tokens were collected via Helius getTokenAccounts with page-based pagination to correct systematic undercounting in Dune's indexed tables.</w:t>
      </w:r>
    </w:p>
    <w:p>
      <w:r>
        <w:rPr>
          <w:b w:val="0"/>
        </w:rPr>
        <w:t xml:space="preserve">Three additional DePIN protocols were added to improve statistical power for the subsidy analysis: Aethir (ATH, Ethereum, GPU compute, $111M annualized revenue), Hivemapper (HONEY, Solana, mapping), and io.net (IO, Solana, GPU compute, $21M revenue). Governance concentration was computed using the same methodology (Dune for ERC-20 tokens, Helius for Solana SPL tokens, top-1000 holders, exchange-labeled and protocol-controlled addresses excluded).</w:t>
      </w:r>
    </w:p>
    <w:tbl>
      <w:tblPr>
        <w:tblStyle w:val="TableGrid"/>
        <w:tblW w:type="dxa" w:w="8640"/>
        <w:tblLook w:firstColumn="1" w:firstRow="1" w:lastColumn="0" w:lastRow="0" w:noHBand="0" w:noVBand="1" w:val="04A0"/>
      </w:tblPr>
      <w:tblGrid>
        <w:gridCol w:w="1560"/>
        <w:gridCol w:w="1260"/>
        <w:gridCol w:w="1080"/>
        <w:gridCol w:w="900"/>
        <w:gridCol w:w="960"/>
        <w:gridCol w:w="960"/>
        <w:gridCol w:w="840"/>
        <w:gridCol w:w="1080"/>
      </w:tblGrid>
      <w:tr>
        <w:tc>
          <w:tcPr>
            <w:tcW w:type="dxa" w:w="1560"/>
          </w:tcPr>
          <w:p>
            <w:r>
              <w:t>Protocol</w:t>
            </w:r>
          </w:p>
        </w:tc>
        <w:tc>
          <w:tcPr>
            <w:tcW w:type="dxa" w:w="1260"/>
          </w:tcPr>
          <w:p>
            <w:r>
              <w:t>Token</w:t>
            </w:r>
          </w:p>
        </w:tc>
        <w:tc>
          <w:tcPr>
            <w:tcW w:type="dxa" w:w="1080"/>
          </w:tcPr>
          <w:p>
            <w:r>
              <w:t>Category</w:t>
            </w:r>
          </w:p>
        </w:tc>
        <w:tc>
          <w:tcPr>
            <w:tcW w:type="dxa" w:w="900"/>
          </w:tcPr>
          <w:p>
            <w:r>
              <w:t>HHI</w:t>
            </w:r>
          </w:p>
        </w:tc>
        <w:tc>
          <w:tcPr>
            <w:tcW w:type="dxa" w:w="960"/>
          </w:tcPr>
          <w:p>
            <w:r>
              <w:t>Gini</w:t>
            </w:r>
          </w:p>
        </w:tc>
        <w:tc>
          <w:tcPr>
            <w:tcW w:type="dxa" w:w="960"/>
          </w:tcPr>
          <w:p>
            <w:r>
              <w:t>Top-1%</w:t>
            </w:r>
          </w:p>
        </w:tc>
        <w:tc>
          <w:tcPr>
            <w:tcW w:type="dxa" w:w="840"/>
          </w:tcPr>
          <w:p>
            <w:r>
              <w:t>Top-10%</w:t>
            </w:r>
          </w:p>
        </w:tc>
        <w:tc>
          <w:tcPr>
            <w:tcW w:type="dxa" w:w="1080"/>
          </w:tcPr>
          <w:p>
            <w:r>
              <w:t>N</w:t>
            </w:r>
          </w:p>
        </w:tc>
        <w:trPr>
          <w:tblHeader/>
        </w:trPr>
      </w:tr>
      <w:tr>
        <w:tc>
          <w:tcPr>
            <w:tcW w:type="dxa" w:w="1560"/>
          </w:tcPr>
          <w:p>
            <w:r>
              <w:rPr>
                <w:sz w:val="16"/>
              </w:rPr>
              <w:t>Morpheus AI</w:t>
            </w:r>
          </w:p>
        </w:tc>
        <w:tc>
          <w:tcPr>
            <w:tcW w:type="dxa" w:w="1260"/>
          </w:tcPr>
          <w:p>
            <w:r>
              <w:rPr>
                <w:sz w:val="16"/>
              </w:rPr>
              <w:t>MOR</w:t>
            </w:r>
          </w:p>
        </w:tc>
        <w:tc>
          <w:tcPr>
            <w:tcW w:type="dxa" w:w="1080"/>
          </w:tcPr>
          <w:p>
            <w:r>
              <w:rPr>
                <w:sz w:val="16"/>
              </w:rPr>
              <w:t>DePIN</w:t>
            </w:r>
          </w:p>
        </w:tc>
        <w:tc>
          <w:tcPr>
            <w:tcW w:type="dxa" w:w="900"/>
          </w:tcPr>
          <w:p>
            <w:r>
              <w:rPr>
                <w:sz w:val="16"/>
              </w:rPr>
              <w:t>0.0133</w:t>
            </w:r>
          </w:p>
        </w:tc>
        <w:tc>
          <w:tcPr>
            <w:tcW w:type="dxa" w:w="960"/>
          </w:tcPr>
          <w:p>
            <w:r>
              <w:rPr>
                <w:sz w:val="16"/>
              </w:rPr>
              <w:t>0.67</w:t>
            </w:r>
          </w:p>
        </w:tc>
        <w:tc>
          <w:tcPr>
            <w:tcW w:type="dxa" w:w="960"/>
          </w:tcPr>
          <w:p>
            <w:r>
              <w:rPr>
                <w:sz w:val="16"/>
              </w:rPr>
              <w:t>7.3%</w:t>
            </w:r>
          </w:p>
        </w:tc>
        <w:tc>
          <w:tcPr>
            <w:tcW w:type="dxa" w:w="840"/>
          </w:tcPr>
          <w:p>
            <w:r>
              <w:rPr>
                <w:sz w:val="16"/>
              </w:rPr>
              <w:t>29.3%</w:t>
            </w:r>
          </w:p>
        </w:tc>
        <w:tc>
          <w:tcPr>
            <w:tcW w:type="dxa" w:w="1080"/>
          </w:tcPr>
          <w:p>
            <w:r>
              <w:rPr>
                <w:sz w:val="16"/>
              </w:rPr>
              <w:t>96</w:t>
            </w:r>
          </w:p>
        </w:tc>
      </w:tr>
      <w:tr>
        <w:tc>
          <w:tcPr>
            <w:tcW w:type="dxa" w:w="1560"/>
          </w:tcPr>
          <w:p>
            <w:r>
              <w:rPr>
                <w:sz w:val="16"/>
              </w:rPr>
              <w:t>Render</w:t>
            </w:r>
          </w:p>
        </w:tc>
        <w:tc>
          <w:tcPr>
            <w:tcW w:type="dxa" w:w="1260"/>
          </w:tcPr>
          <w:p>
            <w:r>
              <w:rPr>
                <w:sz w:val="16"/>
              </w:rPr>
              <w:t>RENDER</w:t>
            </w:r>
          </w:p>
        </w:tc>
        <w:tc>
          <w:tcPr>
            <w:tcW w:type="dxa" w:w="1080"/>
          </w:tcPr>
          <w:p>
            <w:r>
              <w:rPr>
                <w:sz w:val="16"/>
              </w:rPr>
              <w:t>DePIN</w:t>
            </w:r>
          </w:p>
        </w:tc>
        <w:tc>
          <w:tcPr>
            <w:tcW w:type="dxa" w:w="900"/>
          </w:tcPr>
          <w:p>
            <w:r>
              <w:rPr>
                <w:sz w:val="16"/>
              </w:rPr>
              <w:t>0.0323</w:t>
            </w:r>
          </w:p>
        </w:tc>
        <w:tc>
          <w:tcPr>
            <w:tcW w:type="dxa" w:w="960"/>
          </w:tcPr>
          <w:p>
            <w:r>
              <w:rPr>
                <w:sz w:val="16"/>
              </w:rPr>
              <w:t>0.89</w:t>
            </w:r>
          </w:p>
        </w:tc>
        <w:tc>
          <w:tcPr>
            <w:tcW w:type="dxa" w:w="960"/>
          </w:tcPr>
          <w:p>
            <w:r>
              <w:rPr>
                <w:sz w:val="16"/>
              </w:rPr>
              <w:t>10.4%</w:t>
            </w:r>
          </w:p>
        </w:tc>
        <w:tc>
          <w:tcPr>
            <w:tcW w:type="dxa" w:w="840"/>
          </w:tcPr>
          <w:p>
            <w:r>
              <w:rPr>
                <w:sz w:val="16"/>
              </w:rPr>
              <w:t>47.0%</w:t>
            </w:r>
          </w:p>
        </w:tc>
        <w:tc>
          <w:tcPr>
            <w:tcW w:type="dxa" w:w="1080"/>
          </w:tcPr>
          <w:p>
            <w:r>
              <w:rPr>
                <w:sz w:val="16"/>
              </w:rPr>
              <w:t>1000</w:t>
            </w:r>
          </w:p>
        </w:tc>
      </w:tr>
      <w:tr>
        <w:tc>
          <w:tcPr>
            <w:tcW w:type="dxa" w:w="1560"/>
          </w:tcPr>
          <w:p>
            <w:r>
              <w:rPr>
                <w:sz w:val="16"/>
              </w:rPr>
              <w:t>Grass</w:t>
            </w:r>
          </w:p>
        </w:tc>
        <w:tc>
          <w:tcPr>
            <w:tcW w:type="dxa" w:w="1260"/>
          </w:tcPr>
          <w:p>
            <w:r>
              <w:rPr>
                <w:sz w:val="16"/>
              </w:rPr>
              <w:t>GRASS</w:t>
            </w:r>
          </w:p>
        </w:tc>
        <w:tc>
          <w:tcPr>
            <w:tcW w:type="dxa" w:w="1080"/>
          </w:tcPr>
          <w:p>
            <w:r>
              <w:rPr>
                <w:sz w:val="16"/>
              </w:rPr>
              <w:t>DePIN</w:t>
            </w:r>
          </w:p>
        </w:tc>
        <w:tc>
          <w:tcPr>
            <w:tcW w:type="dxa" w:w="900"/>
          </w:tcPr>
          <w:p>
            <w:r>
              <w:rPr>
                <w:sz w:val="16"/>
              </w:rPr>
              <w:t>0.0352</w:t>
            </w:r>
          </w:p>
        </w:tc>
        <w:tc>
          <w:tcPr>
            <w:tcW w:type="dxa" w:w="960"/>
          </w:tcPr>
          <w:p>
            <w:r>
              <w:rPr>
                <w:sz w:val="16"/>
              </w:rPr>
              <w:t>0.76</w:t>
            </w:r>
          </w:p>
        </w:tc>
        <w:tc>
          <w:tcPr>
            <w:tcW w:type="dxa" w:w="960"/>
          </w:tcPr>
          <w:p>
            <w:r>
              <w:rPr>
                <w:sz w:val="16"/>
              </w:rPr>
              <w:t>16.0%</w:t>
            </w:r>
          </w:p>
        </w:tc>
        <w:tc>
          <w:tcPr>
            <w:tcW w:type="dxa" w:w="840"/>
          </w:tcPr>
          <w:p>
            <w:r>
              <w:rPr>
                <w:sz w:val="16"/>
              </w:rPr>
              <w:t>38.2%</w:t>
            </w:r>
          </w:p>
        </w:tc>
        <w:tc>
          <w:tcPr>
            <w:tcW w:type="dxa" w:w="1080"/>
          </w:tcPr>
          <w:p>
            <w:r>
              <w:rPr>
                <w:sz w:val="16"/>
              </w:rPr>
              <w:t>1000</w:t>
            </w:r>
          </w:p>
        </w:tc>
      </w:tr>
      <w:tr>
        <w:tc>
          <w:tcPr>
            <w:tcW w:type="dxa" w:w="1560"/>
          </w:tcPr>
          <w:p>
            <w:r>
              <w:rPr>
                <w:sz w:val="16"/>
              </w:rPr>
              <w:t>DIMO</w:t>
            </w:r>
          </w:p>
        </w:tc>
        <w:tc>
          <w:tcPr>
            <w:tcW w:type="dxa" w:w="1260"/>
          </w:tcPr>
          <w:p>
            <w:r>
              <w:rPr>
                <w:sz w:val="16"/>
              </w:rPr>
              <w:t>DIMO</w:t>
            </w:r>
          </w:p>
        </w:tc>
        <w:tc>
          <w:tcPr>
            <w:tcW w:type="dxa" w:w="1080"/>
          </w:tcPr>
          <w:p>
            <w:r>
              <w:rPr>
                <w:sz w:val="16"/>
              </w:rPr>
              <w:t>DePIN</w:t>
            </w:r>
          </w:p>
        </w:tc>
        <w:tc>
          <w:tcPr>
            <w:tcW w:type="dxa" w:w="900"/>
          </w:tcPr>
          <w:p>
            <w:r>
              <w:rPr>
                <w:sz w:val="16"/>
              </w:rPr>
              <w:t>0.0379</w:t>
            </w:r>
          </w:p>
        </w:tc>
        <w:tc>
          <w:tcPr>
            <w:tcW w:type="dxa" w:w="960"/>
          </w:tcPr>
          <w:p>
            <w:r>
              <w:rPr>
                <w:sz w:val="16"/>
              </w:rPr>
              <w:t>0.87</w:t>
            </w:r>
          </w:p>
        </w:tc>
        <w:tc>
          <w:tcPr>
            <w:tcW w:type="dxa" w:w="960"/>
          </w:tcPr>
          <w:p>
            <w:r>
              <w:rPr>
                <w:sz w:val="16"/>
              </w:rPr>
              <w:t>13.9%</w:t>
            </w:r>
          </w:p>
        </w:tc>
        <w:tc>
          <w:tcPr>
            <w:tcW w:type="dxa" w:w="840"/>
          </w:tcPr>
          <w:p>
            <w:r>
              <w:rPr>
                <w:sz w:val="16"/>
              </w:rPr>
              <w:t>45.0%</w:t>
            </w:r>
          </w:p>
        </w:tc>
        <w:tc>
          <w:tcPr>
            <w:tcW w:type="dxa" w:w="1080"/>
          </w:tcPr>
          <w:p>
            <w:r>
              <w:rPr>
                <w:sz w:val="16"/>
              </w:rPr>
              <w:t>999</w:t>
            </w:r>
          </w:p>
        </w:tc>
      </w:tr>
      <w:tr>
        <w:tc>
          <w:tcPr>
            <w:tcW w:type="dxa" w:w="1560"/>
          </w:tcPr>
          <w:p>
            <w:r>
              <w:rPr>
                <w:sz w:val="16"/>
              </w:rPr>
              <w:t>Anyone Protocol</w:t>
            </w:r>
          </w:p>
        </w:tc>
        <w:tc>
          <w:tcPr>
            <w:tcW w:type="dxa" w:w="1260"/>
          </w:tcPr>
          <w:p>
            <w:r>
              <w:rPr>
                <w:sz w:val="16"/>
              </w:rPr>
              <w:t>ANYONE</w:t>
            </w:r>
          </w:p>
        </w:tc>
        <w:tc>
          <w:tcPr>
            <w:tcW w:type="dxa" w:w="1080"/>
          </w:tcPr>
          <w:p>
            <w:r>
              <w:rPr>
                <w:sz w:val="16"/>
              </w:rPr>
              <w:t>DePIN</w:t>
            </w:r>
          </w:p>
        </w:tc>
        <w:tc>
          <w:tcPr>
            <w:tcW w:type="dxa" w:w="900"/>
          </w:tcPr>
          <w:p>
            <w:r>
              <w:rPr>
                <w:sz w:val="16"/>
              </w:rPr>
              <w:t>0.0404</w:t>
            </w:r>
          </w:p>
        </w:tc>
        <w:tc>
          <w:tcPr>
            <w:tcW w:type="dxa" w:w="960"/>
          </w:tcPr>
          <w:p>
            <w:r>
              <w:rPr>
                <w:sz w:val="16"/>
              </w:rPr>
              <w:t>0.79</w:t>
            </w:r>
          </w:p>
        </w:tc>
        <w:tc>
          <w:tcPr>
            <w:tcW w:type="dxa" w:w="960"/>
          </w:tcPr>
          <w:p>
            <w:r>
              <w:rPr>
                <w:sz w:val="16"/>
              </w:rPr>
              <w:t>13.3%</w:t>
            </w:r>
          </w:p>
        </w:tc>
        <w:tc>
          <w:tcPr>
            <w:tcW w:type="dxa" w:w="840"/>
          </w:tcPr>
          <w:p>
            <w:r>
              <w:rPr>
                <w:sz w:val="16"/>
              </w:rPr>
              <w:t>47.5%</w:t>
            </w:r>
          </w:p>
        </w:tc>
        <w:tc>
          <w:tcPr>
            <w:tcW w:type="dxa" w:w="1080"/>
          </w:tcPr>
          <w:p>
            <w:r>
              <w:rPr>
                <w:sz w:val="16"/>
              </w:rPr>
              <w:t>1000</w:t>
            </w:r>
          </w:p>
        </w:tc>
      </w:tr>
      <w:tr>
        <w:tc>
          <w:tcPr>
            <w:tcW w:type="dxa" w:w="1560"/>
          </w:tcPr>
          <w:p>
            <w:r>
              <w:rPr>
                <w:sz w:val="16"/>
              </w:rPr>
              <w:t>Filecoin</w:t>
            </w:r>
          </w:p>
        </w:tc>
        <w:tc>
          <w:tcPr>
            <w:tcW w:type="dxa" w:w="1260"/>
          </w:tcPr>
          <w:p>
            <w:r>
              <w:rPr>
                <w:sz w:val="16"/>
              </w:rPr>
              <w:t>FIL</w:t>
            </w:r>
          </w:p>
        </w:tc>
        <w:tc>
          <w:tcPr>
            <w:tcW w:type="dxa" w:w="1080"/>
          </w:tcPr>
          <w:p>
            <w:r>
              <w:rPr>
                <w:sz w:val="16"/>
              </w:rPr>
              <w:t>DePIN</w:t>
            </w:r>
          </w:p>
        </w:tc>
        <w:tc>
          <w:tcPr>
            <w:tcW w:type="dxa" w:w="900"/>
          </w:tcPr>
          <w:p>
            <w:r>
              <w:rPr>
                <w:sz w:val="16"/>
              </w:rPr>
              <w:t>0.0473</w:t>
            </w:r>
          </w:p>
        </w:tc>
        <w:tc>
          <w:tcPr>
            <w:tcW w:type="dxa" w:w="960"/>
          </w:tcPr>
          <w:p>
            <w:r>
              <w:rPr>
                <w:sz w:val="16"/>
              </w:rPr>
              <w:t>0.79</w:t>
            </w:r>
          </w:p>
        </w:tc>
        <w:tc>
          <w:tcPr>
            <w:tcW w:type="dxa" w:w="960"/>
          </w:tcPr>
          <w:p>
            <w:r>
              <w:rPr>
                <w:sz w:val="16"/>
              </w:rPr>
              <w:t>18.0%</w:t>
            </w:r>
          </w:p>
        </w:tc>
        <w:tc>
          <w:tcPr>
            <w:tcW w:type="dxa" w:w="840"/>
          </w:tcPr>
          <w:p>
            <w:r>
              <w:rPr>
                <w:sz w:val="16"/>
              </w:rPr>
              <w:t>45.6%</w:t>
            </w:r>
          </w:p>
        </w:tc>
        <w:tc>
          <w:tcPr>
            <w:tcW w:type="dxa" w:w="1080"/>
          </w:tcPr>
          <w:p>
            <w:r>
              <w:rPr>
                <w:sz w:val="16"/>
              </w:rPr>
              <w:t>1000</w:t>
            </w:r>
          </w:p>
        </w:tc>
      </w:tr>
      <w:tr>
        <w:tc>
          <w:tcPr>
            <w:tcW w:type="dxa" w:w="1560"/>
          </w:tcPr>
          <w:p>
            <w:r>
              <w:rPr>
                <w:sz w:val="16"/>
              </w:rPr>
              <w:t>Helium</w:t>
            </w:r>
          </w:p>
        </w:tc>
        <w:tc>
          <w:tcPr>
            <w:tcW w:type="dxa" w:w="1260"/>
          </w:tcPr>
          <w:p>
            <w:r>
              <w:rPr>
                <w:sz w:val="16"/>
              </w:rPr>
              <w:t>HNT</w:t>
            </w:r>
          </w:p>
        </w:tc>
        <w:tc>
          <w:tcPr>
            <w:tcW w:type="dxa" w:w="1080"/>
          </w:tcPr>
          <w:p>
            <w:r>
              <w:rPr>
                <w:sz w:val="16"/>
              </w:rPr>
              <w:t>DePIN</w:t>
            </w:r>
          </w:p>
        </w:tc>
        <w:tc>
          <w:tcPr>
            <w:tcW w:type="dxa" w:w="900"/>
          </w:tcPr>
          <w:p>
            <w:r>
              <w:rPr>
                <w:sz w:val="16"/>
              </w:rPr>
              <w:t>0.1024</w:t>
            </w:r>
          </w:p>
        </w:tc>
        <w:tc>
          <w:tcPr>
            <w:tcW w:type="dxa" w:w="960"/>
          </w:tcPr>
          <w:p>
            <w:r>
              <w:rPr>
                <w:sz w:val="16"/>
              </w:rPr>
              <w:t>0.98</w:t>
            </w:r>
          </w:p>
        </w:tc>
        <w:tc>
          <w:tcPr>
            <w:tcW w:type="dxa" w:w="960"/>
          </w:tcPr>
          <w:p>
            <w:r>
              <w:rPr>
                <w:sz w:val="16"/>
              </w:rPr>
              <w:t>24.5%</w:t>
            </w:r>
          </w:p>
        </w:tc>
        <w:tc>
          <w:tcPr>
            <w:tcW w:type="dxa" w:w="840"/>
          </w:tcPr>
          <w:p>
            <w:r>
              <w:rPr>
                <w:sz w:val="16"/>
              </w:rPr>
              <w:t>79.4%</w:t>
            </w:r>
          </w:p>
        </w:tc>
        <w:tc>
          <w:tcPr>
            <w:tcW w:type="dxa" w:w="1080"/>
          </w:tcPr>
          <w:p>
            <w:r>
              <w:rPr>
                <w:sz w:val="16"/>
              </w:rPr>
              <w:t>1000</w:t>
            </w:r>
          </w:p>
        </w:tc>
      </w:tr>
      <w:tr>
        <w:tc>
          <w:tcPr>
            <w:tcW w:type="dxa" w:w="1560"/>
          </w:tcPr>
          <w:p>
            <w:r>
              <w:rPr>
                <w:sz w:val="16"/>
              </w:rPr>
              <w:t>IoTeX</w:t>
            </w:r>
          </w:p>
        </w:tc>
        <w:tc>
          <w:tcPr>
            <w:tcW w:type="dxa" w:w="1260"/>
          </w:tcPr>
          <w:p>
            <w:r>
              <w:rPr>
                <w:sz w:val="16"/>
              </w:rPr>
              <w:t>IOTX</w:t>
            </w:r>
          </w:p>
        </w:tc>
        <w:tc>
          <w:tcPr>
            <w:tcW w:type="dxa" w:w="1080"/>
          </w:tcPr>
          <w:p>
            <w:r>
              <w:rPr>
                <w:sz w:val="16"/>
              </w:rPr>
              <w:t>DePIN</w:t>
            </w:r>
          </w:p>
        </w:tc>
        <w:tc>
          <w:tcPr>
            <w:tcW w:type="dxa" w:w="900"/>
          </w:tcPr>
          <w:p>
            <w:r>
              <w:rPr>
                <w:sz w:val="16"/>
              </w:rPr>
              <w:t>0.1065</w:t>
            </w:r>
          </w:p>
        </w:tc>
        <w:tc>
          <w:tcPr>
            <w:tcW w:type="dxa" w:w="960"/>
          </w:tcPr>
          <w:p>
            <w:r>
              <w:rPr>
                <w:sz w:val="16"/>
              </w:rPr>
              <w:t>0.99</w:t>
            </w:r>
          </w:p>
        </w:tc>
        <w:tc>
          <w:tcPr>
            <w:tcW w:type="dxa" w:w="960"/>
          </w:tcPr>
          <w:p>
            <w:r>
              <w:rPr>
                <w:sz w:val="16"/>
              </w:rPr>
              <w:t>19.8%</w:t>
            </w:r>
          </w:p>
        </w:tc>
        <w:tc>
          <w:tcPr>
            <w:tcW w:type="dxa" w:w="840"/>
          </w:tcPr>
          <w:p>
            <w:r>
              <w:rPr>
                <w:sz w:val="16"/>
              </w:rPr>
              <w:t>90.6%</w:t>
            </w:r>
          </w:p>
        </w:tc>
        <w:tc>
          <w:tcPr>
            <w:tcW w:type="dxa" w:w="1080"/>
          </w:tcPr>
          <w:p>
            <w:r>
              <w:rPr>
                <w:sz w:val="16"/>
              </w:rPr>
              <w:t>1000</w:t>
            </w:r>
          </w:p>
        </w:tc>
      </w:tr>
      <w:tr>
        <w:tc>
          <w:tcPr>
            <w:tcW w:type="dxa" w:w="1560"/>
          </w:tcPr>
          <w:p>
            <w:r>
              <w:rPr>
                <w:sz w:val="16"/>
              </w:rPr>
              <w:t>GEODNET</w:t>
            </w:r>
          </w:p>
        </w:tc>
        <w:tc>
          <w:tcPr>
            <w:tcW w:type="dxa" w:w="1260"/>
          </w:tcPr>
          <w:p>
            <w:r>
              <w:rPr>
                <w:sz w:val="16"/>
              </w:rPr>
              <w:t>GEOD</w:t>
            </w:r>
          </w:p>
        </w:tc>
        <w:tc>
          <w:tcPr>
            <w:tcW w:type="dxa" w:w="1080"/>
          </w:tcPr>
          <w:p>
            <w:r>
              <w:rPr>
                <w:sz w:val="16"/>
              </w:rPr>
              <w:t>DePIN</w:t>
            </w:r>
          </w:p>
        </w:tc>
        <w:tc>
          <w:tcPr>
            <w:tcW w:type="dxa" w:w="900"/>
          </w:tcPr>
          <w:p>
            <w:r>
              <w:rPr>
                <w:sz w:val="16"/>
              </w:rPr>
              <w:t>0.1325</w:t>
            </w:r>
          </w:p>
        </w:tc>
        <w:tc>
          <w:tcPr>
            <w:tcW w:type="dxa" w:w="960"/>
          </w:tcPr>
          <w:p>
            <w:r>
              <w:rPr>
                <w:sz w:val="16"/>
              </w:rPr>
              <w:t>0.96</w:t>
            </w:r>
          </w:p>
        </w:tc>
        <w:tc>
          <w:tcPr>
            <w:tcW w:type="dxa" w:w="960"/>
          </w:tcPr>
          <w:p>
            <w:r>
              <w:rPr>
                <w:sz w:val="16"/>
              </w:rPr>
              <w:t>24.9%</w:t>
            </w:r>
          </w:p>
        </w:tc>
        <w:tc>
          <w:tcPr>
            <w:tcW w:type="dxa" w:w="840"/>
          </w:tcPr>
          <w:p>
            <w:r>
              <w:rPr>
                <w:sz w:val="16"/>
              </w:rPr>
              <w:t>81.8%</w:t>
            </w:r>
          </w:p>
        </w:tc>
        <w:tc>
          <w:tcPr>
            <w:tcW w:type="dxa" w:w="1080"/>
          </w:tcPr>
          <w:p>
            <w:r>
              <w:rPr>
                <w:sz w:val="16"/>
              </w:rPr>
              <w:t>1000</w:t>
            </w:r>
          </w:p>
        </w:tc>
      </w:tr>
      <w:tr>
        <w:tc>
          <w:tcPr>
            <w:tcW w:type="dxa" w:w="1560"/>
          </w:tcPr>
          <w:p>
            <w:r>
              <w:rPr>
                <w:sz w:val="16"/>
              </w:rPr>
              <w:t>WeatherXM</w:t>
            </w:r>
          </w:p>
        </w:tc>
        <w:tc>
          <w:tcPr>
            <w:tcW w:type="dxa" w:w="1260"/>
          </w:tcPr>
          <w:p>
            <w:r>
              <w:rPr>
                <w:sz w:val="16"/>
              </w:rPr>
              <w:t>WXM</w:t>
            </w:r>
          </w:p>
        </w:tc>
        <w:tc>
          <w:tcPr>
            <w:tcW w:type="dxa" w:w="1080"/>
          </w:tcPr>
          <w:p>
            <w:r>
              <w:rPr>
                <w:sz w:val="16"/>
              </w:rPr>
              <w:t>DePIN</w:t>
            </w:r>
          </w:p>
        </w:tc>
        <w:tc>
          <w:tcPr>
            <w:tcW w:type="dxa" w:w="900"/>
          </w:tcPr>
          <w:p>
            <w:r>
              <w:rPr>
                <w:sz w:val="16"/>
              </w:rPr>
              <w:t>0.1479</w:t>
            </w:r>
          </w:p>
        </w:tc>
        <w:tc>
          <w:tcPr>
            <w:tcW w:type="dxa" w:w="960"/>
          </w:tcPr>
          <w:p>
            <w:r>
              <w:rPr>
                <w:sz w:val="16"/>
              </w:rPr>
              <w:t>0.89</w:t>
            </w:r>
          </w:p>
        </w:tc>
        <w:tc>
          <w:tcPr>
            <w:tcW w:type="dxa" w:w="960"/>
          </w:tcPr>
          <w:p>
            <w:r>
              <w:rPr>
                <w:sz w:val="16"/>
              </w:rPr>
              <w:t>35.0%</w:t>
            </w:r>
          </w:p>
        </w:tc>
        <w:tc>
          <w:tcPr>
            <w:tcW w:type="dxa" w:w="840"/>
          </w:tcPr>
          <w:p>
            <w:r>
              <w:rPr>
                <w:sz w:val="16"/>
              </w:rPr>
              <w:t>77.9%</w:t>
            </w:r>
          </w:p>
        </w:tc>
        <w:tc>
          <w:tcPr>
            <w:tcW w:type="dxa" w:w="1080"/>
          </w:tcPr>
          <w:p>
            <w:r>
              <w:rPr>
                <w:sz w:val="16"/>
              </w:rPr>
              <w:t>999</w:t>
            </w:r>
          </w:p>
        </w:tc>
      </w:tr>
      <w:tr>
        <w:tc>
          <w:tcPr>
            <w:tcW w:type="dxa" w:w="1560"/>
          </w:tcPr>
          <w:p>
            <w:r>
              <w:rPr>
                <w:sz w:val="16"/>
              </w:rPr>
              <w:t>Pokt Network</w:t>
            </w:r>
          </w:p>
        </w:tc>
        <w:tc>
          <w:tcPr>
            <w:tcW w:type="dxa" w:w="1260"/>
          </w:tcPr>
          <w:p>
            <w:r>
              <w:rPr>
                <w:sz w:val="16"/>
              </w:rPr>
              <w:t>POKT</w:t>
            </w:r>
          </w:p>
        </w:tc>
        <w:tc>
          <w:tcPr>
            <w:tcW w:type="dxa" w:w="1080"/>
          </w:tcPr>
          <w:p>
            <w:r>
              <w:rPr>
                <w:sz w:val="16"/>
              </w:rPr>
              <w:t>DePIN</w:t>
            </w:r>
          </w:p>
        </w:tc>
        <w:tc>
          <w:tcPr>
            <w:tcW w:type="dxa" w:w="900"/>
          </w:tcPr>
          <w:p>
            <w:r>
              <w:rPr>
                <w:sz w:val="16"/>
              </w:rPr>
              <w:t>0.1592</w:t>
            </w:r>
          </w:p>
        </w:tc>
        <w:tc>
          <w:tcPr>
            <w:tcW w:type="dxa" w:w="960"/>
          </w:tcPr>
          <w:p>
            <w:r>
              <w:rPr>
                <w:sz w:val="16"/>
              </w:rPr>
              <w:t>0.96</w:t>
            </w:r>
          </w:p>
        </w:tc>
        <w:tc>
          <w:tcPr>
            <w:tcW w:type="dxa" w:w="960"/>
          </w:tcPr>
          <w:p>
            <w:r>
              <w:rPr>
                <w:sz w:val="16"/>
              </w:rPr>
              <w:t>34.8%</w:t>
            </w:r>
          </w:p>
        </w:tc>
        <w:tc>
          <w:tcPr>
            <w:tcW w:type="dxa" w:w="840"/>
          </w:tcPr>
          <w:p>
            <w:r>
              <w:rPr>
                <w:sz w:val="16"/>
              </w:rPr>
              <w:t>77.2%</w:t>
            </w:r>
          </w:p>
        </w:tc>
        <w:tc>
          <w:tcPr>
            <w:tcW w:type="dxa" w:w="1080"/>
          </w:tcPr>
          <w:p>
            <w:r>
              <w:rPr>
                <w:sz w:val="16"/>
              </w:rPr>
              <w:t>1000</w:t>
            </w:r>
          </w:p>
        </w:tc>
      </w:tr>
      <w:tr>
        <w:tc>
          <w:tcPr>
            <w:tcW w:type="dxa" w:w="1560"/>
          </w:tcPr>
          <w:p>
            <w:r>
              <w:rPr>
                <w:sz w:val="16"/>
              </w:rPr>
              <w:t>Livepeer</w:t>
            </w:r>
          </w:p>
        </w:tc>
        <w:tc>
          <w:tcPr>
            <w:tcW w:type="dxa" w:w="1260"/>
          </w:tcPr>
          <w:p>
            <w:r>
              <w:rPr>
                <w:sz w:val="16"/>
              </w:rPr>
              <w:t>LPT</w:t>
            </w:r>
          </w:p>
        </w:tc>
        <w:tc>
          <w:tcPr>
            <w:tcW w:type="dxa" w:w="1080"/>
          </w:tcPr>
          <w:p>
            <w:r>
              <w:rPr>
                <w:sz w:val="16"/>
              </w:rPr>
              <w:t>DePIN</w:t>
            </w:r>
          </w:p>
        </w:tc>
        <w:tc>
          <w:tcPr>
            <w:tcW w:type="dxa" w:w="900"/>
          </w:tcPr>
          <w:p>
            <w:r>
              <w:rPr>
                <w:sz w:val="16"/>
              </w:rPr>
              <w:t>0.1989</w:t>
            </w:r>
          </w:p>
        </w:tc>
        <w:tc>
          <w:tcPr>
            <w:tcW w:type="dxa" w:w="960"/>
          </w:tcPr>
          <w:p>
            <w:r>
              <w:rPr>
                <w:sz w:val="16"/>
              </w:rPr>
              <w:t>0.94</w:t>
            </w:r>
          </w:p>
        </w:tc>
        <w:tc>
          <w:tcPr>
            <w:tcW w:type="dxa" w:w="960"/>
          </w:tcPr>
          <w:p>
            <w:r>
              <w:rPr>
                <w:sz w:val="16"/>
              </w:rPr>
              <w:t>42.9%</w:t>
            </w:r>
          </w:p>
        </w:tc>
        <w:tc>
          <w:tcPr>
            <w:tcW w:type="dxa" w:w="840"/>
          </w:tcPr>
          <w:p>
            <w:r>
              <w:rPr>
                <w:sz w:val="16"/>
              </w:rPr>
              <w:t>73.7%</w:t>
            </w:r>
          </w:p>
        </w:tc>
        <w:tc>
          <w:tcPr>
            <w:tcW w:type="dxa" w:w="1080"/>
          </w:tcPr>
          <w:p>
            <w:r>
              <w:rPr>
                <w:sz w:val="16"/>
              </w:rPr>
              <w:t>998</w:t>
            </w:r>
          </w:p>
        </w:tc>
      </w:tr>
      <w:tr>
        <w:tc>
          <w:tcPr>
            <w:tcW w:type="dxa" w:w="1560"/>
          </w:tcPr>
          <w:p>
            <w:r>
              <w:rPr>
                <w:sz w:val="16"/>
              </w:rPr>
              <w:t>Lido</w:t>
            </w:r>
          </w:p>
        </w:tc>
        <w:tc>
          <w:tcPr>
            <w:tcW w:type="dxa" w:w="1260"/>
          </w:tcPr>
          <w:p>
            <w:r>
              <w:rPr>
                <w:sz w:val="16"/>
              </w:rPr>
              <w:t>LDO</w:t>
            </w:r>
          </w:p>
        </w:tc>
        <w:tc>
          <w:tcPr>
            <w:tcW w:type="dxa" w:w="1080"/>
          </w:tcPr>
          <w:p>
            <w:r>
              <w:rPr>
                <w:sz w:val="16"/>
              </w:rPr>
              <w:t>DeFi</w:t>
            </w:r>
          </w:p>
        </w:tc>
        <w:tc>
          <w:tcPr>
            <w:tcW w:type="dxa" w:w="900"/>
          </w:tcPr>
          <w:p>
            <w:r>
              <w:rPr>
                <w:sz w:val="16"/>
              </w:rPr>
              <w:t>0.0185</w:t>
            </w:r>
          </w:p>
        </w:tc>
        <w:tc>
          <w:tcPr>
            <w:tcW w:type="dxa" w:w="960"/>
          </w:tcPr>
          <w:p>
            <w:r>
              <w:rPr>
                <w:sz w:val="16"/>
              </w:rPr>
              <w:t>0.52</w:t>
            </w:r>
          </w:p>
        </w:tc>
        <w:tc>
          <w:tcPr>
            <w:tcW w:type="dxa" w:w="960"/>
          </w:tcPr>
          <w:p>
            <w:r>
              <w:rPr>
                <w:sz w:val="16"/>
              </w:rPr>
              <w:t>9.9%</w:t>
            </w:r>
          </w:p>
        </w:tc>
        <w:tc>
          <w:tcPr>
            <w:tcW w:type="dxa" w:w="840"/>
          </w:tcPr>
          <w:p>
            <w:r>
              <w:rPr>
                <w:sz w:val="16"/>
              </w:rPr>
              <w:t>27.7%</w:t>
            </w:r>
          </w:p>
        </w:tc>
        <w:tc>
          <w:tcPr>
            <w:tcW w:type="dxa" w:w="1080"/>
          </w:tcPr>
          <w:p>
            <w:r>
              <w:rPr>
                <w:sz w:val="16"/>
              </w:rPr>
              <w:t>189</w:t>
            </w:r>
          </w:p>
        </w:tc>
      </w:tr>
      <w:tr>
        <w:tc>
          <w:tcPr>
            <w:tcW w:type="dxa" w:w="1560"/>
          </w:tcPr>
          <w:p>
            <w:r>
              <w:rPr>
                <w:sz w:val="16"/>
              </w:rPr>
              <w:t>Maple Finance</w:t>
            </w:r>
          </w:p>
        </w:tc>
        <w:tc>
          <w:tcPr>
            <w:tcW w:type="dxa" w:w="1260"/>
          </w:tcPr>
          <w:p>
            <w:r>
              <w:rPr>
                <w:sz w:val="16"/>
              </w:rPr>
              <w:t>MPL_SYRUP</w:t>
            </w:r>
          </w:p>
        </w:tc>
        <w:tc>
          <w:tcPr>
            <w:tcW w:type="dxa" w:w="1080"/>
          </w:tcPr>
          <w:p>
            <w:r>
              <w:rPr>
                <w:sz w:val="16"/>
              </w:rPr>
              <w:t>DeFi</w:t>
            </w:r>
          </w:p>
        </w:tc>
        <w:tc>
          <w:tcPr>
            <w:tcW w:type="dxa" w:w="900"/>
          </w:tcPr>
          <w:p>
            <w:r>
              <w:rPr>
                <w:sz w:val="16"/>
              </w:rPr>
              <w:t>0.0242</w:t>
            </w:r>
          </w:p>
        </w:tc>
        <w:tc>
          <w:tcPr>
            <w:tcW w:type="dxa" w:w="960"/>
          </w:tcPr>
          <w:p>
            <w:r>
              <w:rPr>
                <w:sz w:val="16"/>
              </w:rPr>
              <w:t>0.88</w:t>
            </w:r>
          </w:p>
        </w:tc>
        <w:tc>
          <w:tcPr>
            <w:tcW w:type="dxa" w:w="960"/>
          </w:tcPr>
          <w:p>
            <w:r>
              <w:rPr>
                <w:sz w:val="16"/>
              </w:rPr>
              <w:t>8.5%</w:t>
            </w:r>
          </w:p>
        </w:tc>
        <w:tc>
          <w:tcPr>
            <w:tcW w:type="dxa" w:w="840"/>
          </w:tcPr>
          <w:p>
            <w:r>
              <w:rPr>
                <w:sz w:val="16"/>
              </w:rPr>
              <w:t>40.6%</w:t>
            </w:r>
          </w:p>
        </w:tc>
        <w:tc>
          <w:tcPr>
            <w:tcW w:type="dxa" w:w="1080"/>
          </w:tcPr>
          <w:p>
            <w:r>
              <w:rPr>
                <w:sz w:val="16"/>
              </w:rPr>
              <w:t>998</w:t>
            </w:r>
          </w:p>
        </w:tc>
      </w:tr>
      <w:tr>
        <w:tc>
          <w:tcPr>
            <w:tcW w:type="dxa" w:w="1560"/>
          </w:tcPr>
          <w:p>
            <w:r>
              <w:rPr>
                <w:sz w:val="16"/>
              </w:rPr>
              <w:t>Compound</w:t>
            </w:r>
          </w:p>
        </w:tc>
        <w:tc>
          <w:tcPr>
            <w:tcW w:type="dxa" w:w="1260"/>
          </w:tcPr>
          <w:p>
            <w:r>
              <w:rPr>
                <w:sz w:val="16"/>
              </w:rPr>
              <w:t>COMP</w:t>
            </w:r>
          </w:p>
        </w:tc>
        <w:tc>
          <w:tcPr>
            <w:tcW w:type="dxa" w:w="1080"/>
          </w:tcPr>
          <w:p>
            <w:r>
              <w:rPr>
                <w:sz w:val="16"/>
              </w:rPr>
              <w:t>DeFi</w:t>
            </w:r>
          </w:p>
        </w:tc>
        <w:tc>
          <w:tcPr>
            <w:tcW w:type="dxa" w:w="900"/>
          </w:tcPr>
          <w:p>
            <w:r>
              <w:rPr>
                <w:sz w:val="16"/>
              </w:rPr>
              <w:t>0.0275</w:t>
            </w:r>
          </w:p>
        </w:tc>
        <w:tc>
          <w:tcPr>
            <w:tcW w:type="dxa" w:w="960"/>
          </w:tcPr>
          <w:p>
            <w:r>
              <w:rPr>
                <w:sz w:val="16"/>
              </w:rPr>
              <w:t>0.86</w:t>
            </w:r>
          </w:p>
        </w:tc>
        <w:tc>
          <w:tcPr>
            <w:tcW w:type="dxa" w:w="960"/>
          </w:tcPr>
          <w:p>
            <w:r>
              <w:rPr>
                <w:sz w:val="16"/>
              </w:rPr>
              <w:t>14.1%</w:t>
            </w:r>
          </w:p>
        </w:tc>
        <w:tc>
          <w:tcPr>
            <w:tcW w:type="dxa" w:w="840"/>
          </w:tcPr>
          <w:p>
            <w:r>
              <w:rPr>
                <w:sz w:val="16"/>
              </w:rPr>
              <w:t>32.4%</w:t>
            </w:r>
          </w:p>
        </w:tc>
        <w:tc>
          <w:tcPr>
            <w:tcW w:type="dxa" w:w="1080"/>
          </w:tcPr>
          <w:p>
            <w:r>
              <w:rPr>
                <w:sz w:val="16"/>
              </w:rPr>
              <w:t>1000</w:t>
            </w:r>
          </w:p>
        </w:tc>
      </w:tr>
      <w:tr>
        <w:tc>
          <w:tcPr>
            <w:tcW w:type="dxa" w:w="1560"/>
          </w:tcPr>
          <w:p>
            <w:r>
              <w:rPr>
                <w:sz w:val="16"/>
              </w:rPr>
              <w:t>Rocket Pool</w:t>
            </w:r>
          </w:p>
        </w:tc>
        <w:tc>
          <w:tcPr>
            <w:tcW w:type="dxa" w:w="1260"/>
          </w:tcPr>
          <w:p>
            <w:r>
              <w:rPr>
                <w:sz w:val="16"/>
              </w:rPr>
              <w:t>RPL</w:t>
            </w:r>
          </w:p>
        </w:tc>
        <w:tc>
          <w:tcPr>
            <w:tcW w:type="dxa" w:w="1080"/>
          </w:tcPr>
          <w:p>
            <w:r>
              <w:rPr>
                <w:sz w:val="16"/>
              </w:rPr>
              <w:t>DeFi</w:t>
            </w:r>
          </w:p>
        </w:tc>
        <w:tc>
          <w:tcPr>
            <w:tcW w:type="dxa" w:w="900"/>
          </w:tcPr>
          <w:p>
            <w:r>
              <w:rPr>
                <w:sz w:val="16"/>
              </w:rPr>
              <w:t>0.0391</w:t>
            </w:r>
          </w:p>
        </w:tc>
        <w:tc>
          <w:tcPr>
            <w:tcW w:type="dxa" w:w="960"/>
          </w:tcPr>
          <w:p>
            <w:r>
              <w:rPr>
                <w:sz w:val="16"/>
              </w:rPr>
              <w:t>0.87</w:t>
            </w:r>
          </w:p>
        </w:tc>
        <w:tc>
          <w:tcPr>
            <w:tcW w:type="dxa" w:w="960"/>
          </w:tcPr>
          <w:p>
            <w:r>
              <w:rPr>
                <w:sz w:val="16"/>
              </w:rPr>
              <w:t>11.5%</w:t>
            </w:r>
          </w:p>
        </w:tc>
        <w:tc>
          <w:tcPr>
            <w:tcW w:type="dxa" w:w="840"/>
          </w:tcPr>
          <w:p>
            <w:r>
              <w:rPr>
                <w:sz w:val="16"/>
              </w:rPr>
              <w:t>52.7%</w:t>
            </w:r>
          </w:p>
        </w:tc>
        <w:tc>
          <w:tcPr>
            <w:tcW w:type="dxa" w:w="1080"/>
          </w:tcPr>
          <w:p>
            <w:r>
              <w:rPr>
                <w:sz w:val="16"/>
              </w:rPr>
              <w:t>999</w:t>
            </w:r>
          </w:p>
        </w:tc>
      </w:tr>
      <w:tr>
        <w:tc>
          <w:tcPr>
            <w:tcW w:type="dxa" w:w="1560"/>
          </w:tcPr>
          <w:p>
            <w:r>
              <w:rPr>
                <w:sz w:val="16"/>
              </w:rPr>
              <w:t>MakerDAO</w:t>
            </w:r>
          </w:p>
        </w:tc>
        <w:tc>
          <w:tcPr>
            <w:tcW w:type="dxa" w:w="1260"/>
          </w:tcPr>
          <w:p>
            <w:r>
              <w:rPr>
                <w:sz w:val="16"/>
              </w:rPr>
              <w:t>MKR</w:t>
            </w:r>
          </w:p>
        </w:tc>
        <w:tc>
          <w:tcPr>
            <w:tcW w:type="dxa" w:w="1080"/>
          </w:tcPr>
          <w:p>
            <w:r>
              <w:rPr>
                <w:sz w:val="16"/>
              </w:rPr>
              <w:t>DeFi</w:t>
            </w:r>
          </w:p>
        </w:tc>
        <w:tc>
          <w:tcPr>
            <w:tcW w:type="dxa" w:w="900"/>
          </w:tcPr>
          <w:p>
            <w:r>
              <w:rPr>
                <w:sz w:val="16"/>
              </w:rPr>
              <w:t>0.0450</w:t>
            </w:r>
          </w:p>
        </w:tc>
        <w:tc>
          <w:tcPr>
            <w:tcW w:type="dxa" w:w="960"/>
          </w:tcPr>
          <w:p>
            <w:r>
              <w:rPr>
                <w:sz w:val="16"/>
              </w:rPr>
              <w:t>0.90</w:t>
            </w:r>
          </w:p>
        </w:tc>
        <w:tc>
          <w:tcPr>
            <w:tcW w:type="dxa" w:w="960"/>
          </w:tcPr>
          <w:p>
            <w:r>
              <w:rPr>
                <w:sz w:val="16"/>
              </w:rPr>
              <w:t>11.4%</w:t>
            </w:r>
          </w:p>
        </w:tc>
        <w:tc>
          <w:tcPr>
            <w:tcW w:type="dxa" w:w="840"/>
          </w:tcPr>
          <w:p>
            <w:r>
              <w:rPr>
                <w:sz w:val="16"/>
              </w:rPr>
              <w:t>56.2%</w:t>
            </w:r>
          </w:p>
        </w:tc>
        <w:tc>
          <w:tcPr>
            <w:tcW w:type="dxa" w:w="1080"/>
          </w:tcPr>
          <w:p>
            <w:r>
              <w:rPr>
                <w:sz w:val="16"/>
              </w:rPr>
              <w:t>1000</w:t>
            </w:r>
          </w:p>
        </w:tc>
      </w:tr>
      <w:tr>
        <w:tc>
          <w:tcPr>
            <w:tcW w:type="dxa" w:w="1560"/>
          </w:tcPr>
          <w:p>
            <w:r>
              <w:rPr>
                <w:sz w:val="16"/>
              </w:rPr>
              <w:t>MetaDAO †</w:t>
            </w:r>
          </w:p>
        </w:tc>
        <w:tc>
          <w:tcPr>
            <w:tcW w:type="dxa" w:w="1260"/>
          </w:tcPr>
          <w:p>
            <w:r>
              <w:rPr>
                <w:sz w:val="16"/>
              </w:rPr>
              <w:t>META</w:t>
            </w:r>
          </w:p>
        </w:tc>
        <w:tc>
          <w:tcPr>
            <w:tcW w:type="dxa" w:w="1080"/>
          </w:tcPr>
          <w:p>
            <w:r>
              <w:rPr>
                <w:sz w:val="16"/>
              </w:rPr>
              <w:t>DeFi</w:t>
            </w:r>
          </w:p>
        </w:tc>
        <w:tc>
          <w:tcPr>
            <w:tcW w:type="dxa" w:w="900"/>
          </w:tcPr>
          <w:p>
            <w:r>
              <w:rPr>
                <w:sz w:val="16"/>
              </w:rPr>
              <w:t>0.0482</w:t>
            </w:r>
          </w:p>
        </w:tc>
        <w:tc>
          <w:tcPr>
            <w:tcW w:type="dxa" w:w="960"/>
          </w:tcPr>
          <w:p>
            <w:r>
              <w:rPr>
                <w:sz w:val="16"/>
              </w:rPr>
              <w:t>0.90</w:t>
            </w:r>
          </w:p>
        </w:tc>
        <w:tc>
          <w:tcPr>
            <w:tcW w:type="dxa" w:w="960"/>
          </w:tcPr>
          <w:p>
            <w:r>
              <w:rPr>
                <w:sz w:val="16"/>
              </w:rPr>
              <w:t>19.6%</w:t>
            </w:r>
          </w:p>
        </w:tc>
        <w:tc>
          <w:tcPr>
            <w:tcW w:type="dxa" w:w="840"/>
          </w:tcPr>
          <w:p>
            <w:r>
              <w:rPr>
                <w:sz w:val="16"/>
              </w:rPr>
              <w:t>41.4%</w:t>
            </w:r>
          </w:p>
        </w:tc>
        <w:tc>
          <w:tcPr>
            <w:tcW w:type="dxa" w:w="1080"/>
          </w:tcPr>
          <w:p>
            <w:r>
              <w:rPr>
                <w:sz w:val="16"/>
              </w:rPr>
              <w:t>1000</w:t>
            </w:r>
          </w:p>
        </w:tc>
      </w:tr>
      <w:tr>
        <w:tc>
          <w:tcPr>
            <w:tcW w:type="dxa" w:w="1560"/>
          </w:tcPr>
          <w:p>
            <w:r>
              <w:rPr>
                <w:sz w:val="16"/>
              </w:rPr>
              <w:t>GMX</w:t>
            </w:r>
          </w:p>
        </w:tc>
        <w:tc>
          <w:tcPr>
            <w:tcW w:type="dxa" w:w="1260"/>
          </w:tcPr>
          <w:p>
            <w:r>
              <w:rPr>
                <w:sz w:val="16"/>
              </w:rPr>
              <w:t>GMX</w:t>
            </w:r>
          </w:p>
        </w:tc>
        <w:tc>
          <w:tcPr>
            <w:tcW w:type="dxa" w:w="1080"/>
          </w:tcPr>
          <w:p>
            <w:r>
              <w:rPr>
                <w:sz w:val="16"/>
              </w:rPr>
              <w:t>DeFi</w:t>
            </w:r>
          </w:p>
        </w:tc>
        <w:tc>
          <w:tcPr>
            <w:tcW w:type="dxa" w:w="900"/>
          </w:tcPr>
          <w:p>
            <w:r>
              <w:rPr>
                <w:sz w:val="16"/>
              </w:rPr>
              <w:t>0.0564</w:t>
            </w:r>
          </w:p>
        </w:tc>
        <w:tc>
          <w:tcPr>
            <w:tcW w:type="dxa" w:w="960"/>
          </w:tcPr>
          <w:p>
            <w:r>
              <w:rPr>
                <w:sz w:val="16"/>
              </w:rPr>
              <w:t>0.93</w:t>
            </w:r>
          </w:p>
        </w:tc>
        <w:tc>
          <w:tcPr>
            <w:tcW w:type="dxa" w:w="960"/>
          </w:tcPr>
          <w:p>
            <w:r>
              <w:rPr>
                <w:sz w:val="16"/>
              </w:rPr>
              <w:t>17.5%</w:t>
            </w:r>
          </w:p>
        </w:tc>
        <w:tc>
          <w:tcPr>
            <w:tcW w:type="dxa" w:w="840"/>
          </w:tcPr>
          <w:p>
            <w:r>
              <w:rPr>
                <w:sz w:val="16"/>
              </w:rPr>
              <w:t>60.2%</w:t>
            </w:r>
          </w:p>
        </w:tc>
        <w:tc>
          <w:tcPr>
            <w:tcW w:type="dxa" w:w="1080"/>
          </w:tcPr>
          <w:p>
            <w:r>
              <w:rPr>
                <w:sz w:val="16"/>
              </w:rPr>
              <w:t>999</w:t>
            </w:r>
          </w:p>
        </w:tc>
      </w:tr>
      <w:tr>
        <w:tc>
          <w:tcPr>
            <w:tcW w:type="dxa" w:w="1560"/>
          </w:tcPr>
          <w:p>
            <w:r>
              <w:rPr>
                <w:sz w:val="16"/>
              </w:rPr>
              <w:t>Aave</w:t>
            </w:r>
          </w:p>
        </w:tc>
        <w:tc>
          <w:tcPr>
            <w:tcW w:type="dxa" w:w="1260"/>
          </w:tcPr>
          <w:p>
            <w:r>
              <w:rPr>
                <w:sz w:val="16"/>
              </w:rPr>
              <w:t>AAVE</w:t>
            </w:r>
          </w:p>
        </w:tc>
        <w:tc>
          <w:tcPr>
            <w:tcW w:type="dxa" w:w="1080"/>
          </w:tcPr>
          <w:p>
            <w:r>
              <w:rPr>
                <w:sz w:val="16"/>
              </w:rPr>
              <w:t>DeFi</w:t>
            </w:r>
          </w:p>
        </w:tc>
        <w:tc>
          <w:tcPr>
            <w:tcW w:type="dxa" w:w="900"/>
          </w:tcPr>
          <w:p>
            <w:r>
              <w:rPr>
                <w:sz w:val="16"/>
              </w:rPr>
              <w:t>0.020</w:t>
            </w:r>
          </w:p>
        </w:tc>
        <w:tc>
          <w:tcPr>
            <w:tcW w:type="dxa" w:w="960"/>
          </w:tcPr>
          <w:p>
            <w:r>
              <w:rPr>
                <w:sz w:val="16"/>
              </w:rPr>
              <w:t>0.88</w:t>
            </w:r>
          </w:p>
        </w:tc>
        <w:tc>
          <w:tcPr>
            <w:tcW w:type="dxa" w:w="960"/>
          </w:tcPr>
          <w:p>
            <w:r>
              <w:rPr>
                <w:sz w:val="16"/>
              </w:rPr>
              <w:t>—†</w:t>
            </w:r>
          </w:p>
        </w:tc>
        <w:tc>
          <w:tcPr>
            <w:tcW w:type="dxa" w:w="840"/>
          </w:tcPr>
          <w:p>
            <w:r>
              <w:rPr>
                <w:sz w:val="16"/>
              </w:rPr>
              <w:t>47.6%</w:t>
            </w:r>
          </w:p>
        </w:tc>
        <w:tc>
          <w:tcPr>
            <w:tcW w:type="dxa" w:w="1080"/>
          </w:tcPr>
          <w:p>
            <w:r>
              <w:rPr>
                <w:sz w:val="16"/>
              </w:rPr>
              <w:t>1000</w:t>
            </w:r>
          </w:p>
        </w:tc>
      </w:tr>
      <w:tr>
        <w:tc>
          <w:tcPr>
            <w:tcW w:type="dxa" w:w="1560"/>
          </w:tcPr>
          <w:p>
            <w:r>
              <w:rPr>
                <w:sz w:val="16"/>
              </w:rPr>
              <w:t>Ether.Fi</w:t>
            </w:r>
          </w:p>
        </w:tc>
        <w:tc>
          <w:tcPr>
            <w:tcW w:type="dxa" w:w="1260"/>
          </w:tcPr>
          <w:p>
            <w:r>
              <w:rPr>
                <w:sz w:val="16"/>
              </w:rPr>
              <w:t>ETHFI</w:t>
            </w:r>
          </w:p>
        </w:tc>
        <w:tc>
          <w:tcPr>
            <w:tcW w:type="dxa" w:w="1080"/>
          </w:tcPr>
          <w:p>
            <w:r>
              <w:rPr>
                <w:sz w:val="16"/>
              </w:rPr>
              <w:t>DeFi</w:t>
            </w:r>
          </w:p>
        </w:tc>
        <w:tc>
          <w:tcPr>
            <w:tcW w:type="dxa" w:w="900"/>
          </w:tcPr>
          <w:p>
            <w:r>
              <w:rPr>
                <w:sz w:val="16"/>
              </w:rPr>
              <w:t>0.0668</w:t>
            </w:r>
          </w:p>
        </w:tc>
        <w:tc>
          <w:tcPr>
            <w:tcW w:type="dxa" w:w="960"/>
          </w:tcPr>
          <w:p>
            <w:r>
              <w:rPr>
                <w:sz w:val="16"/>
              </w:rPr>
              <w:t>0.95</w:t>
            </w:r>
          </w:p>
        </w:tc>
        <w:tc>
          <w:tcPr>
            <w:tcW w:type="dxa" w:w="960"/>
          </w:tcPr>
          <w:p>
            <w:r>
              <w:rPr>
                <w:sz w:val="16"/>
              </w:rPr>
              <w:t>19.0%</w:t>
            </w:r>
          </w:p>
        </w:tc>
        <w:tc>
          <w:tcPr>
            <w:tcW w:type="dxa" w:w="840"/>
          </w:tcPr>
          <w:p>
            <w:r>
              <w:rPr>
                <w:sz w:val="16"/>
              </w:rPr>
              <w:t>59.9%</w:t>
            </w:r>
          </w:p>
        </w:tc>
        <w:tc>
          <w:tcPr>
            <w:tcW w:type="dxa" w:w="1080"/>
          </w:tcPr>
          <w:p>
            <w:r>
              <w:rPr>
                <w:sz w:val="16"/>
              </w:rPr>
              <w:t>1000</w:t>
            </w:r>
          </w:p>
        </w:tc>
      </w:tr>
      <w:tr>
        <w:tc>
          <w:tcPr>
            <w:tcW w:type="dxa" w:w="1560"/>
          </w:tcPr>
          <w:p>
            <w:r>
              <w:rPr>
                <w:sz w:val="16"/>
              </w:rPr>
              <w:t>Uniswap</w:t>
            </w:r>
          </w:p>
        </w:tc>
        <w:tc>
          <w:tcPr>
            <w:tcW w:type="dxa" w:w="1260"/>
          </w:tcPr>
          <w:p>
            <w:r>
              <w:rPr>
                <w:sz w:val="16"/>
              </w:rPr>
              <w:t>UNI</w:t>
            </w:r>
          </w:p>
        </w:tc>
        <w:tc>
          <w:tcPr>
            <w:tcW w:type="dxa" w:w="1080"/>
          </w:tcPr>
          <w:p>
            <w:r>
              <w:rPr>
                <w:sz w:val="16"/>
              </w:rPr>
              <w:t>DeFi</w:t>
            </w:r>
          </w:p>
        </w:tc>
        <w:tc>
          <w:tcPr>
            <w:tcW w:type="dxa" w:w="900"/>
          </w:tcPr>
          <w:p>
            <w:r>
              <w:rPr>
                <w:sz w:val="16"/>
              </w:rPr>
              <w:t>0.032</w:t>
            </w:r>
          </w:p>
        </w:tc>
        <w:tc>
          <w:tcPr>
            <w:tcW w:type="dxa" w:w="960"/>
          </w:tcPr>
          <w:p>
            <w:r>
              <w:rPr>
                <w:sz w:val="16"/>
              </w:rPr>
              <w:t>0.89</w:t>
            </w:r>
          </w:p>
        </w:tc>
        <w:tc>
          <w:tcPr>
            <w:tcW w:type="dxa" w:w="960"/>
          </w:tcPr>
          <w:p>
            <w:r>
              <w:rPr>
                <w:sz w:val="16"/>
              </w:rPr>
              <w:t>—†</w:t>
            </w:r>
          </w:p>
        </w:tc>
        <w:tc>
          <w:tcPr>
            <w:tcW w:type="dxa" w:w="840"/>
          </w:tcPr>
          <w:p>
            <w:r>
              <w:rPr>
                <w:sz w:val="16"/>
              </w:rPr>
              <w:t>52.1%</w:t>
            </w:r>
          </w:p>
        </w:tc>
        <w:tc>
          <w:tcPr>
            <w:tcW w:type="dxa" w:w="1080"/>
          </w:tcPr>
          <w:p>
            <w:r>
              <w:rPr>
                <w:sz w:val="16"/>
              </w:rPr>
              <w:t>1000</w:t>
            </w:r>
          </w:p>
        </w:tc>
      </w:tr>
      <w:tr>
        <w:tc>
          <w:tcPr>
            <w:tcW w:type="dxa" w:w="1560"/>
          </w:tcPr>
          <w:p>
            <w:r>
              <w:rPr>
                <w:sz w:val="16"/>
              </w:rPr>
              <w:t>Drift</w:t>
            </w:r>
          </w:p>
        </w:tc>
        <w:tc>
          <w:tcPr>
            <w:tcW w:type="dxa" w:w="1260"/>
          </w:tcPr>
          <w:p>
            <w:r>
              <w:rPr>
                <w:sz w:val="16"/>
              </w:rPr>
              <w:t>DRIFT</w:t>
            </w:r>
          </w:p>
        </w:tc>
        <w:tc>
          <w:tcPr>
            <w:tcW w:type="dxa" w:w="1080"/>
          </w:tcPr>
          <w:p>
            <w:r>
              <w:rPr>
                <w:sz w:val="16"/>
              </w:rPr>
              <w:t>DeFi</w:t>
            </w:r>
          </w:p>
        </w:tc>
        <w:tc>
          <w:tcPr>
            <w:tcW w:type="dxa" w:w="900"/>
          </w:tcPr>
          <w:p>
            <w:r>
              <w:rPr>
                <w:sz w:val="16"/>
              </w:rPr>
              <w:t>0.1011</w:t>
            </w:r>
          </w:p>
        </w:tc>
        <w:tc>
          <w:tcPr>
            <w:tcW w:type="dxa" w:w="960"/>
          </w:tcPr>
          <w:p>
            <w:r>
              <w:rPr>
                <w:sz w:val="16"/>
              </w:rPr>
              <w:t>0.94</w:t>
            </w:r>
          </w:p>
        </w:tc>
        <w:tc>
          <w:tcPr>
            <w:tcW w:type="dxa" w:w="960"/>
          </w:tcPr>
          <w:p>
            <w:r>
              <w:rPr>
                <w:sz w:val="16"/>
              </w:rPr>
              <w:t>27.0%</w:t>
            </w:r>
          </w:p>
        </w:tc>
        <w:tc>
          <w:tcPr>
            <w:tcW w:type="dxa" w:w="840"/>
          </w:tcPr>
          <w:p>
            <w:r>
              <w:rPr>
                <w:sz w:val="16"/>
              </w:rPr>
              <w:t>61.7%</w:t>
            </w:r>
          </w:p>
        </w:tc>
        <w:tc>
          <w:tcPr>
            <w:tcW w:type="dxa" w:w="1080"/>
          </w:tcPr>
          <w:p>
            <w:r>
              <w:rPr>
                <w:sz w:val="16"/>
              </w:rPr>
              <w:t>1000</w:t>
            </w:r>
          </w:p>
        </w:tc>
      </w:tr>
      <w:tr>
        <w:tc>
          <w:tcPr>
            <w:tcW w:type="dxa" w:w="1560"/>
          </w:tcPr>
          <w:p>
            <w:r>
              <w:rPr>
                <w:sz w:val="16"/>
              </w:rPr>
              <w:t>Jupiter</w:t>
            </w:r>
          </w:p>
        </w:tc>
        <w:tc>
          <w:tcPr>
            <w:tcW w:type="dxa" w:w="1260"/>
          </w:tcPr>
          <w:p>
            <w:r>
              <w:rPr>
                <w:sz w:val="16"/>
              </w:rPr>
              <w:t>JUP</w:t>
            </w:r>
          </w:p>
        </w:tc>
        <w:tc>
          <w:tcPr>
            <w:tcW w:type="dxa" w:w="1080"/>
          </w:tcPr>
          <w:p>
            <w:r>
              <w:rPr>
                <w:sz w:val="16"/>
              </w:rPr>
              <w:t>DeFi</w:t>
            </w:r>
          </w:p>
        </w:tc>
        <w:tc>
          <w:tcPr>
            <w:tcW w:type="dxa" w:w="900"/>
          </w:tcPr>
          <w:p>
            <w:r>
              <w:rPr>
                <w:sz w:val="16"/>
              </w:rPr>
              <w:t>0.1166</w:t>
            </w:r>
          </w:p>
        </w:tc>
        <w:tc>
          <w:tcPr>
            <w:tcW w:type="dxa" w:w="960"/>
          </w:tcPr>
          <w:p>
            <w:r>
              <w:rPr>
                <w:sz w:val="16"/>
              </w:rPr>
              <w:t>0.98</w:t>
            </w:r>
          </w:p>
        </w:tc>
        <w:tc>
          <w:tcPr>
            <w:tcW w:type="dxa" w:w="960"/>
          </w:tcPr>
          <w:p>
            <w:r>
              <w:rPr>
                <w:sz w:val="16"/>
              </w:rPr>
              <w:t>25.1%</w:t>
            </w:r>
          </w:p>
        </w:tc>
        <w:tc>
          <w:tcPr>
            <w:tcW w:type="dxa" w:w="840"/>
          </w:tcPr>
          <w:p>
            <w:r>
              <w:rPr>
                <w:sz w:val="16"/>
              </w:rPr>
              <w:t>75.0%</w:t>
            </w:r>
          </w:p>
        </w:tc>
        <w:tc>
          <w:tcPr>
            <w:tcW w:type="dxa" w:w="1080"/>
          </w:tcPr>
          <w:p>
            <w:r>
              <w:rPr>
                <w:sz w:val="16"/>
              </w:rPr>
              <w:t>1000</w:t>
            </w:r>
          </w:p>
        </w:tc>
      </w:tr>
      <w:tr>
        <w:tc>
          <w:tcPr>
            <w:tcW w:type="dxa" w:w="1560"/>
          </w:tcPr>
          <w:p>
            <w:r>
              <w:rPr>
                <w:sz w:val="16"/>
              </w:rPr>
              <w:t>Curve</w:t>
            </w:r>
          </w:p>
        </w:tc>
        <w:tc>
          <w:tcPr>
            <w:tcW w:type="dxa" w:w="1260"/>
          </w:tcPr>
          <w:p>
            <w:r>
              <w:rPr>
                <w:sz w:val="16"/>
              </w:rPr>
              <w:t>CRV</w:t>
            </w:r>
          </w:p>
        </w:tc>
        <w:tc>
          <w:tcPr>
            <w:tcW w:type="dxa" w:w="1080"/>
          </w:tcPr>
          <w:p>
            <w:r>
              <w:rPr>
                <w:sz w:val="16"/>
              </w:rPr>
              <w:t>DeFi</w:t>
            </w:r>
          </w:p>
        </w:tc>
        <w:tc>
          <w:tcPr>
            <w:tcW w:type="dxa" w:w="900"/>
          </w:tcPr>
          <w:p>
            <w:r>
              <w:rPr>
                <w:sz w:val="16"/>
              </w:rPr>
              <w:t>0.1706</w:t>
            </w:r>
          </w:p>
        </w:tc>
        <w:tc>
          <w:tcPr>
            <w:tcW w:type="dxa" w:w="960"/>
          </w:tcPr>
          <w:p>
            <w:r>
              <w:rPr>
                <w:sz w:val="16"/>
              </w:rPr>
              <w:t>0.89</w:t>
            </w:r>
          </w:p>
        </w:tc>
        <w:tc>
          <w:tcPr>
            <w:tcW w:type="dxa" w:w="960"/>
          </w:tcPr>
          <w:p>
            <w:r>
              <w:rPr>
                <w:sz w:val="16"/>
              </w:rPr>
              <w:t>40.5%</w:t>
            </w:r>
          </w:p>
        </w:tc>
        <w:tc>
          <w:tcPr>
            <w:tcW w:type="dxa" w:w="840"/>
          </w:tcPr>
          <w:p>
            <w:r>
              <w:rPr>
                <w:sz w:val="16"/>
              </w:rPr>
              <w:t>60.7%</w:t>
            </w:r>
          </w:p>
        </w:tc>
        <w:tc>
          <w:tcPr>
            <w:tcW w:type="dxa" w:w="1080"/>
          </w:tcPr>
          <w:p>
            <w:r>
              <w:rPr>
                <w:sz w:val="16"/>
              </w:rPr>
              <w:t>1000</w:t>
            </w:r>
          </w:p>
        </w:tc>
      </w:tr>
      <w:tr>
        <w:tc>
          <w:tcPr>
            <w:tcW w:type="dxa" w:w="1560"/>
          </w:tcPr>
          <w:p>
            <w:r>
              <w:rPr>
                <w:sz w:val="16"/>
              </w:rPr>
              <w:t>Axelar</w:t>
            </w:r>
          </w:p>
        </w:tc>
        <w:tc>
          <w:tcPr>
            <w:tcW w:type="dxa" w:w="1260"/>
          </w:tcPr>
          <w:p>
            <w:r>
              <w:rPr>
                <w:sz w:val="16"/>
              </w:rPr>
              <w:t>AXL</w:t>
            </w:r>
          </w:p>
        </w:tc>
        <w:tc>
          <w:tcPr>
            <w:tcW w:type="dxa" w:w="1080"/>
          </w:tcPr>
          <w:p>
            <w:r>
              <w:rPr>
                <w:sz w:val="16"/>
              </w:rPr>
              <w:t>L1/L2/Infra</w:t>
            </w:r>
          </w:p>
        </w:tc>
        <w:tc>
          <w:tcPr>
            <w:tcW w:type="dxa" w:w="900"/>
          </w:tcPr>
          <w:p>
            <w:r>
              <w:rPr>
                <w:sz w:val="16"/>
              </w:rPr>
              <w:t>0.0038</w:t>
            </w:r>
          </w:p>
        </w:tc>
        <w:tc>
          <w:tcPr>
            <w:tcW w:type="dxa" w:w="960"/>
          </w:tcPr>
          <w:p>
            <w:r>
              <w:rPr>
                <w:sz w:val="16"/>
              </w:rPr>
              <w:t>0.63</w:t>
            </w:r>
          </w:p>
        </w:tc>
        <w:tc>
          <w:tcPr>
            <w:tcW w:type="dxa" w:w="960"/>
          </w:tcPr>
          <w:p>
            <w:r>
              <w:rPr>
                <w:sz w:val="16"/>
              </w:rPr>
              <w:t>3.2%</w:t>
            </w:r>
          </w:p>
        </w:tc>
        <w:tc>
          <w:tcPr>
            <w:tcW w:type="dxa" w:w="840"/>
          </w:tcPr>
          <w:p>
            <w:r>
              <w:rPr>
                <w:sz w:val="16"/>
              </w:rPr>
              <w:t>15.8%</w:t>
            </w:r>
          </w:p>
        </w:tc>
        <w:tc>
          <w:tcPr>
            <w:tcW w:type="dxa" w:w="1080"/>
          </w:tcPr>
          <w:p>
            <w:r>
              <w:rPr>
                <w:sz w:val="16"/>
              </w:rPr>
              <w:t>97</w:t>
            </w:r>
          </w:p>
        </w:tc>
      </w:tr>
      <w:tr>
        <w:tc>
          <w:tcPr>
            <w:tcW w:type="dxa" w:w="1560"/>
          </w:tcPr>
          <w:p>
            <w:r>
              <w:rPr>
                <w:sz w:val="16"/>
              </w:rPr>
              <w:t>LayerZero</w:t>
            </w:r>
          </w:p>
        </w:tc>
        <w:tc>
          <w:tcPr>
            <w:tcW w:type="dxa" w:w="1260"/>
          </w:tcPr>
          <w:p>
            <w:r>
              <w:rPr>
                <w:sz w:val="16"/>
              </w:rPr>
              <w:t>ZRO</w:t>
            </w:r>
          </w:p>
        </w:tc>
        <w:tc>
          <w:tcPr>
            <w:tcW w:type="dxa" w:w="1080"/>
          </w:tcPr>
          <w:p>
            <w:r>
              <w:rPr>
                <w:sz w:val="16"/>
              </w:rPr>
              <w:t>L1/L2/Infra</w:t>
            </w:r>
          </w:p>
        </w:tc>
        <w:tc>
          <w:tcPr>
            <w:tcW w:type="dxa" w:w="900"/>
          </w:tcPr>
          <w:p>
            <w:r>
              <w:rPr>
                <w:sz w:val="16"/>
              </w:rPr>
              <w:t>0.0096</w:t>
            </w:r>
          </w:p>
        </w:tc>
        <w:tc>
          <w:tcPr>
            <w:tcW w:type="dxa" w:w="960"/>
          </w:tcPr>
          <w:p>
            <w:r>
              <w:rPr>
                <w:sz w:val="16"/>
              </w:rPr>
              <w:t>0.45</w:t>
            </w:r>
          </w:p>
        </w:tc>
        <w:tc>
          <w:tcPr>
            <w:tcW w:type="dxa" w:w="960"/>
          </w:tcPr>
          <w:p>
            <w:r>
              <w:rPr>
                <w:sz w:val="16"/>
              </w:rPr>
              <w:t>3.3%</w:t>
            </w:r>
          </w:p>
        </w:tc>
        <w:tc>
          <w:tcPr>
            <w:tcW w:type="dxa" w:w="840"/>
          </w:tcPr>
          <w:p>
            <w:r>
              <w:rPr>
                <w:sz w:val="16"/>
              </w:rPr>
              <w:t>24.7%</w:t>
            </w:r>
          </w:p>
        </w:tc>
        <w:tc>
          <w:tcPr>
            <w:tcW w:type="dxa" w:w="1080"/>
          </w:tcPr>
          <w:p>
            <w:r>
              <w:rPr>
                <w:sz w:val="16"/>
              </w:rPr>
              <w:t>98</w:t>
            </w:r>
          </w:p>
        </w:tc>
      </w:tr>
      <w:tr>
        <w:tc>
          <w:tcPr>
            <w:tcW w:type="dxa" w:w="1560"/>
          </w:tcPr>
          <w:p>
            <w:r>
              <w:rPr>
                <w:sz w:val="16"/>
              </w:rPr>
              <w:t>Wormhole</w:t>
            </w:r>
          </w:p>
        </w:tc>
        <w:tc>
          <w:tcPr>
            <w:tcW w:type="dxa" w:w="1260"/>
          </w:tcPr>
          <w:p>
            <w:r>
              <w:rPr>
                <w:sz w:val="16"/>
              </w:rPr>
              <w:t>W</w:t>
            </w:r>
          </w:p>
        </w:tc>
        <w:tc>
          <w:tcPr>
            <w:tcW w:type="dxa" w:w="1080"/>
          </w:tcPr>
          <w:p>
            <w:r>
              <w:rPr>
                <w:sz w:val="16"/>
              </w:rPr>
              <w:t>L1/L2/Infra</w:t>
            </w:r>
          </w:p>
        </w:tc>
        <w:tc>
          <w:tcPr>
            <w:tcW w:type="dxa" w:w="900"/>
          </w:tcPr>
          <w:p>
            <w:r>
              <w:rPr>
                <w:sz w:val="16"/>
              </w:rPr>
              <w:t>0.0149</w:t>
            </w:r>
          </w:p>
        </w:tc>
        <w:tc>
          <w:tcPr>
            <w:tcW w:type="dxa" w:w="960"/>
          </w:tcPr>
          <w:p>
            <w:r>
              <w:rPr>
                <w:sz w:val="16"/>
              </w:rPr>
              <w:t>0.87</w:t>
            </w:r>
          </w:p>
        </w:tc>
        <w:tc>
          <w:tcPr>
            <w:tcW w:type="dxa" w:w="960"/>
          </w:tcPr>
          <w:p>
            <w:r>
              <w:rPr>
                <w:sz w:val="16"/>
              </w:rPr>
              <w:t>7.0%</w:t>
            </w:r>
          </w:p>
        </w:tc>
        <w:tc>
          <w:tcPr>
            <w:tcW w:type="dxa" w:w="840"/>
          </w:tcPr>
          <w:p>
            <w:r>
              <w:rPr>
                <w:sz w:val="16"/>
              </w:rPr>
              <w:t>23.8%</w:t>
            </w:r>
          </w:p>
        </w:tc>
        <w:tc>
          <w:tcPr>
            <w:tcW w:type="dxa" w:w="1080"/>
          </w:tcPr>
          <w:p>
            <w:r>
              <w:rPr>
                <w:sz w:val="16"/>
              </w:rPr>
              <w:t>1000</w:t>
            </w:r>
          </w:p>
        </w:tc>
      </w:tr>
      <w:tr>
        <w:tc>
          <w:tcPr>
            <w:tcW w:type="dxa" w:w="1560"/>
          </w:tcPr>
          <w:p>
            <w:r>
              <w:rPr>
                <w:sz w:val="16"/>
              </w:rPr>
              <w:t>Polygon</w:t>
            </w:r>
          </w:p>
        </w:tc>
        <w:tc>
          <w:tcPr>
            <w:tcW w:type="dxa" w:w="1260"/>
          </w:tcPr>
          <w:p>
            <w:r>
              <w:rPr>
                <w:sz w:val="16"/>
              </w:rPr>
              <w:t>POL</w:t>
            </w:r>
          </w:p>
        </w:tc>
        <w:tc>
          <w:tcPr>
            <w:tcW w:type="dxa" w:w="1080"/>
          </w:tcPr>
          <w:p>
            <w:r>
              <w:rPr>
                <w:sz w:val="16"/>
              </w:rPr>
              <w:t>L1/L2/Infra</w:t>
            </w:r>
          </w:p>
        </w:tc>
        <w:tc>
          <w:tcPr>
            <w:tcW w:type="dxa" w:w="900"/>
          </w:tcPr>
          <w:p>
            <w:r>
              <w:rPr>
                <w:sz w:val="16"/>
              </w:rPr>
              <w:t>0.0348</w:t>
            </w:r>
          </w:p>
        </w:tc>
        <w:tc>
          <w:tcPr>
            <w:tcW w:type="dxa" w:w="960"/>
          </w:tcPr>
          <w:p>
            <w:r>
              <w:rPr>
                <w:sz w:val="16"/>
              </w:rPr>
              <w:t>0.92</w:t>
            </w:r>
          </w:p>
        </w:tc>
        <w:tc>
          <w:tcPr>
            <w:tcW w:type="dxa" w:w="960"/>
          </w:tcPr>
          <w:p>
            <w:r>
              <w:rPr>
                <w:sz w:val="16"/>
              </w:rPr>
              <w:t>12.1%</w:t>
            </w:r>
          </w:p>
        </w:tc>
        <w:tc>
          <w:tcPr>
            <w:tcW w:type="dxa" w:w="840"/>
          </w:tcPr>
          <w:p>
            <w:r>
              <w:rPr>
                <w:sz w:val="16"/>
              </w:rPr>
              <w:t>49.5%</w:t>
            </w:r>
          </w:p>
        </w:tc>
        <w:tc>
          <w:tcPr>
            <w:tcW w:type="dxa" w:w="1080"/>
          </w:tcPr>
          <w:p>
            <w:r>
              <w:rPr>
                <w:sz w:val="16"/>
              </w:rPr>
              <w:t>998</w:t>
            </w:r>
          </w:p>
        </w:tc>
      </w:tr>
      <w:tr>
        <w:tc>
          <w:tcPr>
            <w:tcW w:type="dxa" w:w="1560"/>
          </w:tcPr>
          <w:p>
            <w:r>
              <w:rPr>
                <w:sz w:val="16"/>
              </w:rPr>
              <w:t>Arbitrum</w:t>
            </w:r>
          </w:p>
        </w:tc>
        <w:tc>
          <w:tcPr>
            <w:tcW w:type="dxa" w:w="1260"/>
          </w:tcPr>
          <w:p>
            <w:r>
              <w:rPr>
                <w:sz w:val="16"/>
              </w:rPr>
              <w:t>ARB</w:t>
            </w:r>
          </w:p>
        </w:tc>
        <w:tc>
          <w:tcPr>
            <w:tcW w:type="dxa" w:w="1080"/>
          </w:tcPr>
          <w:p>
            <w:r>
              <w:rPr>
                <w:sz w:val="16"/>
              </w:rPr>
              <w:t>L1/L2/Infra</w:t>
            </w:r>
          </w:p>
        </w:tc>
        <w:tc>
          <w:tcPr>
            <w:tcW w:type="dxa" w:w="900"/>
          </w:tcPr>
          <w:p>
            <w:r>
              <w:rPr>
                <w:sz w:val="16"/>
              </w:rPr>
              <w:t>0.012</w:t>
            </w:r>
          </w:p>
        </w:tc>
        <w:tc>
          <w:tcPr>
            <w:tcW w:type="dxa" w:w="960"/>
          </w:tcPr>
          <w:p>
            <w:r>
              <w:rPr>
                <w:sz w:val="16"/>
              </w:rPr>
              <w:t>0.83</w:t>
            </w:r>
          </w:p>
        </w:tc>
        <w:tc>
          <w:tcPr>
            <w:tcW w:type="dxa" w:w="960"/>
          </w:tcPr>
          <w:p>
            <w:r>
              <w:rPr>
                <w:sz w:val="16"/>
              </w:rPr>
              <w:t>—†</w:t>
            </w:r>
          </w:p>
        </w:tc>
        <w:tc>
          <w:tcPr>
            <w:tcW w:type="dxa" w:w="840"/>
          </w:tcPr>
          <w:p>
            <w:r>
              <w:rPr>
                <w:sz w:val="16"/>
              </w:rPr>
              <w:t>47.2%</w:t>
            </w:r>
          </w:p>
        </w:tc>
        <w:tc>
          <w:tcPr>
            <w:tcW w:type="dxa" w:w="1080"/>
          </w:tcPr>
          <w:p>
            <w:r>
              <w:rPr>
                <w:sz w:val="16"/>
              </w:rPr>
              <w:t>1000</w:t>
            </w:r>
          </w:p>
        </w:tc>
      </w:tr>
      <w:tr>
        <w:tc>
          <w:tcPr>
            <w:tcW w:type="dxa" w:w="1560"/>
          </w:tcPr>
          <w:p>
            <w:r>
              <w:rPr>
                <w:sz w:val="16"/>
              </w:rPr>
              <w:t>The Graph</w:t>
            </w:r>
          </w:p>
        </w:tc>
        <w:tc>
          <w:tcPr>
            <w:tcW w:type="dxa" w:w="1260"/>
          </w:tcPr>
          <w:p>
            <w:r>
              <w:rPr>
                <w:sz w:val="16"/>
              </w:rPr>
              <w:t>GRT</w:t>
            </w:r>
          </w:p>
        </w:tc>
        <w:tc>
          <w:tcPr>
            <w:tcW w:type="dxa" w:w="1080"/>
          </w:tcPr>
          <w:p>
            <w:r>
              <w:rPr>
                <w:sz w:val="16"/>
              </w:rPr>
              <w:t>L1/L2/Infra</w:t>
            </w:r>
          </w:p>
        </w:tc>
        <w:tc>
          <w:tcPr>
            <w:tcW w:type="dxa" w:w="900"/>
          </w:tcPr>
          <w:p>
            <w:r>
              <w:rPr>
                <w:sz w:val="16"/>
              </w:rPr>
              <w:t>0.036</w:t>
            </w:r>
          </w:p>
        </w:tc>
        <w:tc>
          <w:tcPr>
            <w:tcW w:type="dxa" w:w="960"/>
          </w:tcPr>
          <w:p>
            <w:r>
              <w:rPr>
                <w:sz w:val="16"/>
              </w:rPr>
              <w:t>0.92</w:t>
            </w:r>
          </w:p>
        </w:tc>
        <w:tc>
          <w:tcPr>
            <w:tcW w:type="dxa" w:w="960"/>
          </w:tcPr>
          <w:p>
            <w:r>
              <w:rPr>
                <w:sz w:val="16"/>
              </w:rPr>
              <w:t>—†</w:t>
            </w:r>
          </w:p>
        </w:tc>
        <w:tc>
          <w:tcPr>
            <w:tcW w:type="dxa" w:w="840"/>
          </w:tcPr>
          <w:p>
            <w:r>
              <w:rPr>
                <w:sz w:val="16"/>
              </w:rPr>
              <w:t>59.7%</w:t>
            </w:r>
          </w:p>
        </w:tc>
        <w:tc>
          <w:tcPr>
            <w:tcW w:type="dxa" w:w="1080"/>
          </w:tcPr>
          <w:p>
            <w:r>
              <w:rPr>
                <w:sz w:val="16"/>
              </w:rPr>
              <w:t>1000</w:t>
            </w:r>
          </w:p>
        </w:tc>
      </w:tr>
      <w:tr>
        <w:tc>
          <w:tcPr>
            <w:tcW w:type="dxa" w:w="1560"/>
          </w:tcPr>
          <w:p>
            <w:r>
              <w:rPr>
                <w:sz w:val="16"/>
              </w:rPr>
              <w:t>Optimism</w:t>
            </w:r>
          </w:p>
        </w:tc>
        <w:tc>
          <w:tcPr>
            <w:tcW w:type="dxa" w:w="1260"/>
          </w:tcPr>
          <w:p>
            <w:r>
              <w:rPr>
                <w:sz w:val="16"/>
              </w:rPr>
              <w:t>OP</w:t>
            </w:r>
          </w:p>
        </w:tc>
        <w:tc>
          <w:tcPr>
            <w:tcW w:type="dxa" w:w="1080"/>
          </w:tcPr>
          <w:p>
            <w:r>
              <w:rPr>
                <w:sz w:val="16"/>
              </w:rPr>
              <w:t>L1/L2/Infra</w:t>
            </w:r>
          </w:p>
        </w:tc>
        <w:tc>
          <w:tcPr>
            <w:tcW w:type="dxa" w:w="900"/>
          </w:tcPr>
          <w:p>
            <w:r>
              <w:rPr>
                <w:sz w:val="16"/>
              </w:rPr>
              <w:t>0.042</w:t>
            </w:r>
          </w:p>
        </w:tc>
        <w:tc>
          <w:tcPr>
            <w:tcW w:type="dxa" w:w="960"/>
          </w:tcPr>
          <w:p>
            <w:r>
              <w:rPr>
                <w:sz w:val="16"/>
              </w:rPr>
              <w:t>0.89</w:t>
            </w:r>
          </w:p>
        </w:tc>
        <w:tc>
          <w:tcPr>
            <w:tcW w:type="dxa" w:w="960"/>
          </w:tcPr>
          <w:p>
            <w:r>
              <w:rPr>
                <w:sz w:val="16"/>
              </w:rPr>
              <w:t>—†</w:t>
            </w:r>
          </w:p>
        </w:tc>
        <w:tc>
          <w:tcPr>
            <w:tcW w:type="dxa" w:w="840"/>
          </w:tcPr>
          <w:p>
            <w:r>
              <w:rPr>
                <w:sz w:val="16"/>
              </w:rPr>
              <w:t>60.8%</w:t>
            </w:r>
          </w:p>
        </w:tc>
        <w:tc>
          <w:tcPr>
            <w:tcW w:type="dxa" w:w="1080"/>
          </w:tcPr>
          <w:p>
            <w:r>
              <w:rPr>
                <w:sz w:val="16"/>
              </w:rPr>
              <w:t>1000</w:t>
            </w:r>
          </w:p>
        </w:tc>
      </w:tr>
      <w:tr>
        <w:tc>
          <w:tcPr>
            <w:tcW w:type="dxa" w:w="1560"/>
          </w:tcPr>
          <w:p>
            <w:r>
              <w:rPr>
                <w:sz w:val="16"/>
              </w:rPr>
              <w:t>ENS</w:t>
            </w:r>
          </w:p>
        </w:tc>
        <w:tc>
          <w:tcPr>
            <w:tcW w:type="dxa" w:w="1260"/>
          </w:tcPr>
          <w:p>
            <w:r>
              <w:rPr>
                <w:sz w:val="16"/>
              </w:rPr>
              <w:t>ENS</w:t>
            </w:r>
          </w:p>
        </w:tc>
        <w:tc>
          <w:tcPr>
            <w:tcW w:type="dxa" w:w="1080"/>
          </w:tcPr>
          <w:p>
            <w:r>
              <w:rPr>
                <w:sz w:val="16"/>
              </w:rPr>
              <w:t>L1/L2/Infra</w:t>
            </w:r>
          </w:p>
        </w:tc>
        <w:tc>
          <w:tcPr>
            <w:tcW w:type="dxa" w:w="900"/>
          </w:tcPr>
          <w:p>
            <w:r>
              <w:rPr>
                <w:sz w:val="16"/>
              </w:rPr>
              <w:t>0.1345</w:t>
            </w:r>
          </w:p>
        </w:tc>
        <w:tc>
          <w:tcPr>
            <w:tcW w:type="dxa" w:w="960"/>
          </w:tcPr>
          <w:p>
            <w:r>
              <w:rPr>
                <w:sz w:val="16"/>
              </w:rPr>
              <w:t>0.94</w:t>
            </w:r>
          </w:p>
        </w:tc>
        <w:tc>
          <w:tcPr>
            <w:tcW w:type="dxa" w:w="960"/>
          </w:tcPr>
          <w:p>
            <w:r>
              <w:rPr>
                <w:sz w:val="16"/>
              </w:rPr>
              <w:t>26.7%</w:t>
            </w:r>
          </w:p>
        </w:tc>
        <w:tc>
          <w:tcPr>
            <w:tcW w:type="dxa" w:w="840"/>
          </w:tcPr>
          <w:p>
            <w:r>
              <w:rPr>
                <w:sz w:val="16"/>
              </w:rPr>
              <w:t>75.5%</w:t>
            </w:r>
          </w:p>
        </w:tc>
        <w:tc>
          <w:tcPr>
            <w:tcW w:type="dxa" w:w="1080"/>
          </w:tcPr>
          <w:p>
            <w:r>
              <w:rPr>
                <w:sz w:val="16"/>
              </w:rPr>
              <w:t>999</w:t>
            </w:r>
          </w:p>
        </w:tc>
      </w:tr>
      <w:tr>
        <w:tc>
          <w:tcPr>
            <w:tcW w:type="dxa" w:w="1560"/>
          </w:tcPr>
          <w:p>
            <w:r>
              <w:rPr>
                <w:sz w:val="16"/>
              </w:rPr>
              <w:t>Token Engineering Commons ‡</w:t>
            </w:r>
          </w:p>
        </w:tc>
        <w:tc>
          <w:tcPr>
            <w:tcW w:type="dxa" w:w="1260"/>
          </w:tcPr>
          <w:p>
            <w:r>
              <w:rPr>
                <w:sz w:val="16"/>
              </w:rPr>
              <w:t>TEC</w:t>
            </w:r>
          </w:p>
        </w:tc>
        <w:tc>
          <w:tcPr>
            <w:tcW w:type="dxa" w:w="1080"/>
          </w:tcPr>
          <w:p>
            <w:r>
              <w:rPr>
                <w:sz w:val="16"/>
              </w:rPr>
              <w:t>Social/Dead</w:t>
            </w:r>
          </w:p>
        </w:tc>
        <w:tc>
          <w:tcPr>
            <w:tcW w:type="dxa" w:w="900"/>
          </w:tcPr>
          <w:p>
            <w:r>
              <w:rPr>
                <w:sz w:val="16"/>
              </w:rPr>
              <w:t>0.0278</w:t>
            </w:r>
          </w:p>
        </w:tc>
        <w:tc>
          <w:tcPr>
            <w:tcW w:type="dxa" w:w="960"/>
          </w:tcPr>
          <w:p>
            <w:r>
              <w:rPr>
                <w:sz w:val="16"/>
              </w:rPr>
              <w:t>0.91</w:t>
            </w:r>
          </w:p>
        </w:tc>
        <w:tc>
          <w:tcPr>
            <w:tcW w:type="dxa" w:w="960"/>
          </w:tcPr>
          <w:p>
            <w:r>
              <w:rPr>
                <w:sz w:val="16"/>
              </w:rPr>
              <w:t>9.2%</w:t>
            </w:r>
          </w:p>
        </w:tc>
        <w:tc>
          <w:tcPr>
            <w:tcW w:type="dxa" w:w="840"/>
          </w:tcPr>
          <w:p>
            <w:r>
              <w:rPr>
                <w:sz w:val="16"/>
              </w:rPr>
              <w:t>44.2%</w:t>
            </w:r>
          </w:p>
        </w:tc>
        <w:tc>
          <w:tcPr>
            <w:tcW w:type="dxa" w:w="1080"/>
          </w:tcPr>
          <w:p>
            <w:r>
              <w:rPr>
                <w:sz w:val="16"/>
              </w:rPr>
              <w:t>742</w:t>
            </w:r>
          </w:p>
        </w:tc>
      </w:tr>
      <w:tr>
        <w:tc>
          <w:tcPr>
            <w:tcW w:type="dxa" w:w="1560"/>
          </w:tcPr>
          <w:p>
            <w:r>
              <w:rPr>
                <w:sz w:val="16"/>
              </w:rPr>
              <w:t>Gitcoin ‡</w:t>
            </w:r>
          </w:p>
        </w:tc>
        <w:tc>
          <w:tcPr>
            <w:tcW w:type="dxa" w:w="1260"/>
          </w:tcPr>
          <w:p>
            <w:r>
              <w:rPr>
                <w:sz w:val="16"/>
              </w:rPr>
              <w:t>GTC</w:t>
            </w:r>
          </w:p>
        </w:tc>
        <w:tc>
          <w:tcPr>
            <w:tcW w:type="dxa" w:w="1080"/>
          </w:tcPr>
          <w:p>
            <w:r>
              <w:rPr>
                <w:sz w:val="16"/>
              </w:rPr>
              <w:t>Social/Dead</w:t>
            </w:r>
          </w:p>
        </w:tc>
        <w:tc>
          <w:tcPr>
            <w:tcW w:type="dxa" w:w="900"/>
          </w:tcPr>
          <w:p>
            <w:r>
              <w:rPr>
                <w:sz w:val="16"/>
              </w:rPr>
              <w:t>0.0766</w:t>
            </w:r>
          </w:p>
        </w:tc>
        <w:tc>
          <w:tcPr>
            <w:tcW w:type="dxa" w:w="960"/>
          </w:tcPr>
          <w:p>
            <w:r>
              <w:rPr>
                <w:sz w:val="16"/>
              </w:rPr>
              <w:t>0.94</w:t>
            </w:r>
          </w:p>
        </w:tc>
        <w:tc>
          <w:tcPr>
            <w:tcW w:type="dxa" w:w="960"/>
          </w:tcPr>
          <w:p>
            <w:r>
              <w:rPr>
                <w:sz w:val="16"/>
              </w:rPr>
              <w:t>17.6%</w:t>
            </w:r>
          </w:p>
        </w:tc>
        <w:tc>
          <w:tcPr>
            <w:tcW w:type="dxa" w:w="840"/>
          </w:tcPr>
          <w:p>
            <w:r>
              <w:rPr>
                <w:sz w:val="16"/>
              </w:rPr>
              <w:t>64.3%</w:t>
            </w:r>
          </w:p>
        </w:tc>
        <w:tc>
          <w:tcPr>
            <w:tcW w:type="dxa" w:w="1080"/>
          </w:tcPr>
          <w:p>
            <w:r>
              <w:rPr>
                <w:sz w:val="16"/>
              </w:rPr>
              <w:t>1000</w:t>
            </w:r>
          </w:p>
        </w:tc>
      </w:tr>
    </w:tbl>
    <w:p>
      <w:r>
        <w:rPr>
          <w:b w:val="0"/>
        </w:rPr>
        <w:t>Table 4. Governance concentration cross-section (March 2026 snapshot, Dune Analytics + Helius DAS API, top-1,000 holders per token, 56 protocol-controlled addresses excluded across 17 protocols). † = futarchy governance. ‡ = survivorship-bias control. Sorted by category then HHI ascending.</w:t>
      </w:r>
    </w:p>
    <w:p>
      <w:r>
        <w:rPr>
          <w:b w:val="0"/>
        </w:rPr>
        <w:t>HHI ranges from 0.004 (Axelar, after excluding foundation treasury and exchange custodians) to 0.199 (Livepeer). Among DeFi governance tokens, HHI ranges from 0.018 (Lido) to 0.171 (Curve). DePIN protocols span a similar range: 0.013 (Morpheus AI, after excluding protocol distribution contracts) to 0.199 (Livepeer). The overlap between DePIN and DeFi HHI distributions is substantial, with 8 of 12 DePIN protocols falling within the DeFi range.</w:t>
      </w:r>
    </w:p>
    <w:p>
      <w:r>
        <w:rPr>
          <w:b w:val="0"/>
        </w:rPr>
        <w:t>Several protocols previously appearing highly concentrated show moderate concentration once measurement artifacts are removed. After correcting for holder-list truncation (Solana tokens) and protocol-controlled address contamination (19 protocols), the DePIN-DeFi concentration gap narrows substantially: DRIFT (0.419 uncorrected to 0.101 corrected, reflecting Helius enumeration of 27,888 holders versus 104 from Dune), W (0.126 to 0.015), and GRASS (0.132 to 0.035). The exclusion methodology (Section 5.1a) is particularly consequential for protocols with large foundation treasuries or exchange custodian addresses in the top-10 holders.</w:t>
      </w:r>
    </w:p>
    <w:p>
      <w:r>
        <w:rPr>
          <w:b w:val="0"/>
        </w:rPr>
        <w:t>Several protocols demonstrate that low governance concentration is achievable across sectors. Axelar (HHI 0.004), LayerZero (0.010), and Wormhole (0.015) in L1/L2 infrastructure; Morpheus AI (0.013) in DePIN; and Lido (0.018) in DeFi all achieve HHI below 0.02. These counterexamples demonstrate that governance concentration reflects distribution design choices, not sector constraints.</w:t>
      </w:r>
    </w:p>
    <w:p>
      <w:r>
        <w:rPr>
          <w:b w:val="0"/>
        </w:rPr>
        <w:t>Three measurement choices affect these results and merit attention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5.3 DePIN vs. DeFi Contrast</w:t>
      </w:r>
    </w:p>
    <w:p>
      <w:r>
        <w:rPr>
          <w:b w:val="0"/>
        </w:rPr>
        <w:t>DePIN and DeFi governance concentration are not statistically distinguishable in the expanded 38-protocol dataset (p = 0.052), though DePIN concentration is significantly higher than L1/L2 infrastructure protocols (p = 0.038). DePIN mean HHI (0.088, N=12) exceeds DeFi mean HHI (0.059, N=13) by a factor of 1.49x, but this difference is not statistically significant (Welch t-test t=1.33, p=0.052, Cohen’s d=0.54). Both sectors span similar ranges and overlap substantially. The high within-sector variance (DePIN standard deviation 0.061, DeFi 0.044) overwhelms the between-sector difference, yielding a small effect size.</w:t>
      </w:r>
    </w:p>
    <w:p>
      <w:r>
        <w:rPr>
          <w:b w:val="0"/>
        </w:rPr>
        <w:t xml:space="preserve">DePIN governance concentration is also significantly higher than L1/L2 infrastructure protocols (mean HHI 0.036, N=8): Welch t-test p = 0.038, Cohen’s d = 0.95; Mann-Whitney p = 0.031. This divergence between sectors is driven by the post-exclusion infrastructure mean: ARB (0.012), OP (0.042), and GRT (0.036) all have relatively distributed token holdings once foundation and bridge addresses are removed.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(r = +0.08, p = 0.64), suggesting that the distribution design channel operates through qualitative mechanisms not captured by the allocation percentage alone. The Anyone Protocol counterexample supports this interpretation: its low concentration (HHI 0.040) reflects deliberate distribution design choices that most DePIN protocols have not yet made.</w:t>
      </w:r>
    </w:p>
    <w:p>
      <w:r>
        <w:rPr>
          <w:b w:val="0"/>
        </w:rPr>
        <w:t>The distribution design explanation is consistent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compression mechanisms entirely. The governance concentration patterns in Table 4 may reflect distribution mechanism design rather than sector-level differences. However, the regression null on insider allocation (Section 5.3) cautions against treating initial token allocation as a sufficient statistic for distribution design: compression mechanisms (sub-linear scaling, activity-based caps, delegation incentives) operate through ongoing protocol governance, not through the initial percentage split alone.</w:t>
      </w:r>
    </w:p>
    <w:p>
      <w:r>
        <w:rPr>
          <w:b w:val="0"/>
        </w:rPr>
        <w:t>Regression analysis on the 33-protocol subset with verified allocation data tests whether initial token distribution predicts governance concentration directly. The correlation between insider allocation share (team plus investor percentage at genesis) and holding HHI is near-zero (Pearson r = +0.08, p = 0.64; Spearman rho = -0.07, p = 0.70). Neither team allocation (r = -0.13, p = 0.46), investor allocation (r = +0.26, p = 0.14), community allocation (r = +0.09, p = 0.61), nor protocol maturity (r = +0.12, p = 0.51) significantly predicts holding concentration. The only covariate significantly associated with HHI is the Gini coefficient (r = +0.56, p &lt; 0.001), which is partly tautological (both measure concentration). Token unlock progress shows no association with governance concentration at any level of measurement refinement. The crude circulating-to-total supply ratio (r = +0.03, p = 0.86, N = 31), market-capitalization-weighted float ratio (r = +0.01, p = 0.96, N = 30), and an exclusion-adjusted float ratio that removes the same protocol-controlled addresses excluded from HHI computation (r = −0.003, p = 0.99, N = 30) all yield near-zero correlations. This three-specification null rules out vesting schedule timing as a concentration driver and eliminates the possibility that the crude ratio’s null reflected measurement noise rather than a genuine absence of association.</w:t>
      </w:r>
    </w:p>
    <w:p>
      <w:pPr>
        <w:jc w:val="center"/>
      </w:pPr>
      <w:r>
        <w:drawing xmlns:a="http://schemas.openxmlformats.org/drawingml/2006/main" xmlns:pic="http://schemas.openxmlformats.org/drawingml/2006/picture">
          <wp:inline distT="0" distB="0" distL="0" distR="0">
            <wp:extent cx="5029200" cy="3017520"/>
            <wp:docPr id="104" name="Figure 4"/>
            <a:graphic>
              <a:graphicData uri="http://schemas.openxmlformats.org/drawingml/2006/picture">
                <pic:pic>
                  <pic:nvPicPr>
                    <pic:cNvPr id="104" name="Figure 4"/>
                    <pic:cNvPicPr/>
                  </pic:nvPicPr>
                  <pic:blipFill>
                    <a:blip r:embed="rId12"/>
                    <a:stretch>
                      <a:fillRect/>
                    </a:stretch>
                  </pic:blipFill>
                  <pic:spPr>
                    <a:xfrm>
                      <a:off x="0" y="0"/>
                      <a:ext cx="5029200" cy="3017520"/>
                    </a:xfrm>
                    <a:prstGeom prst="rect">
                      <a:avLst/>
                    </a:prstGeom>
                  </pic:spPr>
                </pic:pic>
              </a:graphicData>
            </a:graphic>
          </wp:inline>
        </w:drawing>
      </w:r>
    </w:p>
    <w:p>
      <w:pPr>
        <w:jc w:val="center"/>
      </w:pPr>
      <w:r>
        <w:rPr>
          <w:i/>
          <w:sz w:val="20"/>
        </w:rPr>
        <w:t xml:space="preserve">Figure 1. Insider allocation (%) vs. corrected holding HHI for 33 regression-ready protocols.</w:t>
      </w:r>
    </w:p>
    <w:p>
      <w:r>
        <w:rPr>
          <w:b w:val="0"/>
        </w:rPr>
        <w:t xml:space="preserve">This null result is informative. MakerDAO (100% insider allocation at genesis, HHI 0.045) and Aave (0% insider allocation, HHI 0.059) show nearly identical governance concentration despite opposite allocation designs. Livepeer (76% insider, HHI 0.199) and Compound (50% insider, HHI 0.028) span the full HHI range at similar insider levels. Post-distribution dynamics, including secondary market trading, delegation behavior, and protocol-specific emission schedules, appear to dominate initial allocation as determinants of long-run governance concentration. The qualitative pattern visible in Table 4 (airdrop-distributed protocols tend toward lower HHI) may reflect correlated design choices rather than a direct causal channel from allocation to concentration.</w:t>
      </w:r>
    </w:p>
    <w:p>
      <w:r>
        <w:rPr>
          <w:b w:val="0"/>
        </w:rPr>
        <w:t>This contrast has normative significance beyond descriptive interest. The theoretical framework (Section 3) argues that governance concentration affects legitimacy through multiple channels: publicity (Hypothesis 3.1)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3.2)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Heading2"/>
      </w:pPr>
      <w:r>
        <w:t xml:space="preserve">5.4 Voting Power vs Holding Concentration</w:t>
      </w:r>
    </w:p>
    <w:p>
      <w:pPr>
        <w:pStyle w:val="Normal"/>
      </w:pPr>
      <w:r>
        <w:t xml:space="preserve">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6 reports the holding-voting HHI gap. The delegation amplification ratio (voting HHI divided by holding HHI) reveals a sector-dependent pattern absent from the holding data alone. DePIN protocols show extreme delegation amplification: DIMO’s voting HHI (0.228) is 6.0 times its holding HHI (0.038), though this ratio is based on only 10 Snapshot voters and should be interpreted with caution, and WeatherXM’s (0.486) is 3.3 times its holding HHI (0.148). A small number of delegates, likely foundation-affiliated or early-investor wallets, control governance outcomes despite relatively distributed token holdings.</w:t>
      </w:r>
    </w:p>
    <w:p>
      <w:pPr>
        <w:jc w:val="center"/>
      </w:pPr>
      <w:r>
        <w:drawing xmlns:a="http://schemas.openxmlformats.org/drawingml/2006/main" xmlns:pic="http://schemas.openxmlformats.org/drawingml/2006/picture">
          <wp:inline distT="0" distB="0" distL="0" distR="0">
            <wp:extent cx="5029200" cy="2514600"/>
            <wp:docPr id="105" name="Figure 5"/>
            <a:graphic>
              <a:graphicData uri="http://schemas.openxmlformats.org/drawingml/2006/picture">
                <pic:pic>
                  <pic:nvPicPr>
                    <pic:cNvPr id="105" name="Figure 5"/>
                    <pic:cNvPicPr/>
                  </pic:nvPicPr>
                  <pic:blipFill>
                    <a:blip r:embed="rId13"/>
                    <a:stretch>
                      <a:fillRect/>
                    </a:stretch>
                  </pic:blipFill>
                  <pic:spPr>
                    <a:xfrm>
                      <a:off x="0" y="0"/>
                      <a:ext cx="5029200" cy="2514600"/>
                    </a:xfrm>
                    <a:prstGeom prst="rect">
                      <a:avLst/>
                    </a:prstGeom>
                  </pic:spPr>
                </pic:pic>
              </a:graphicData>
            </a:graphic>
          </wp:inline>
        </w:drawing>
      </w:r>
    </w:p>
    <w:p>
      <w:pPr>
        <w:jc w:val="center"/>
      </w:pPr>
      <w:r>
        <w:rPr>
          <w:i/>
          <w:sz w:val="20"/>
        </w:rPr>
        <w:t xml:space="preserve">Figure 5. Raw holding HHI vs. delegation-adjusted HHI for five Tally-sourced protocols.</w:t>
      </w:r>
    </w:p>
    <w:p>
      <w:pPr>
        <w:pStyle w:val="Normal"/>
      </w:pPr>
      <w:r>
        <w:t xml:space="preserve">Figure 5 compares raw and delegation-adjusted HHI for five Tally-sourced protocols.</w:t>
      </w:r>
    </w:p>
    <w:p>
      <w:pPr>
        <w:pStyle w:val="Normal"/>
      </w:pPr>
      <w:r>
        <w:t xml:space="preserve">DeFi protocols show a mixed pattern. Lido exhibits substantial amplification (4.8 times), consistent with its known delegate concentration. Compound shows moderate amplification (1.9 times). Aave is roughly neutral (1.3 times). Uniswap shows mild distribution through delegation (0.67 times), suggesting its active delegate ecosystem partially decompresses governance power.</w:t>
      </w:r>
    </w:p>
    <w:p>
      <w:pPr>
        <w:pStyle w:val="Normal"/>
      </w:pPr>
      <w:r>
        <w:t xml:space="preserve">Infrastructure protocols show the reverse pattern: delegation distributes rather than concentrates. Optimism’s voting HHI (0.033) is 0.27 times its holding HHI (0.121), and Arbitrum’s (0.052) is 0.54 times its holding HHI (0.097). Both protocols have invested heavily in delegate programs, compensated delegation, and constitutional governance structures that effectively distribute voting power beyond holding concentration.</w:t>
      </w:r>
    </w:p>
    <w:p>
      <w:pPr>
        <w:pStyle w:val="Normal"/>
      </w:pPr>
      <w:r>
        <w:t xml:space="preserve">The delegation amplification finding reintroduces a sector-dependent pattern that the holding data alone did not support. While holding concentration is sector-invariant (Section 5.3), delegation amplification is not: DePIN protocols concentrate governance power through delegation at rates 3 to 6 times higher than their holding concentration, while infrastructure protocols achieve the opposite. This pattern is consistent with differences in governance infrastructure maturity.</w:t>
      </w:r>
    </w:p>
    <w:p>
      <w:pPr>
        <w:pStyle w:val="Normal"/>
      </w:pPr>
      <w:r>
        <w:t xml:space="preserve">Table 6. 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tbl>
      <w:tblPr>
        <w:tblStyle w:val="TableGrid"/>
        <w:tblW w:w="0" w:type="auto"/>
      </w:tblPr>
      <w:tblGrid>
        <w:gridCol/>
        <w:gridCol/>
        <w:gridCol/>
        <w:gridCol/>
        <w:gridCol/>
        <w:gridCol/>
      </w:tblGrid>
      <w:tr>
        <w:tc>
          <w:tcPr/>
          <w:p>
            <w:r>
              <w:rPr>
                <w:b/>
                <w:sz w:val="20"/>
              </w:rPr>
              <w:t xml:space="preserve">Protocol</w:t>
            </w:r>
          </w:p>
        </w:tc>
        <w:tc>
          <w:tcPr/>
          <w:p>
            <w:r>
              <w:rPr>
                <w:b/>
                <w:sz w:val="20"/>
              </w:rPr>
              <w:t xml:space="preserve">Category</w:t>
            </w:r>
          </w:p>
        </w:tc>
        <w:tc>
          <w:tcPr/>
          <w:p>
            <w:r>
              <w:rPr>
                <w:b/>
                <w:sz w:val="20"/>
              </w:rPr>
              <w:t xml:space="preserve">Holding HHI</w:t>
            </w:r>
          </w:p>
        </w:tc>
        <w:tc>
          <w:tcPr/>
          <w:p>
            <w:r>
              <w:rPr>
                <w:b/>
                <w:sz w:val="20"/>
              </w:rPr>
              <w:t xml:space="preserve">Voting HHI</w:t>
            </w:r>
          </w:p>
        </w:tc>
        <w:tc>
          <w:tcPr/>
          <w:p>
            <w:r>
              <w:rPr>
                <w:b/>
                <w:sz w:val="20"/>
              </w:rPr>
              <w:t xml:space="preserve">Ratio</w:t>
            </w:r>
          </w:p>
        </w:tc>
        <w:tc>
          <w:tcPr/>
          <w:p>
            <w:r>
              <w:rPr>
                <w:b/>
                <w:sz w:val="20"/>
              </w:rPr>
              <w:t xml:space="preserve">Source</w:t>
            </w:r>
          </w:p>
        </w:tc>
      </w:tr>
      <w:tr>
        <w:tc>
          <w:tcPr/>
          <w:p>
            <w:r>
              <w:rPr>
                <w:sz w:val="20"/>
              </w:rPr>
              <w:t xml:space="preserve">DIMO</w:t>
            </w:r>
          </w:p>
        </w:tc>
        <w:tc>
          <w:tcPr/>
          <w:p>
            <w:r>
              <w:rPr>
                <w:sz w:val="20"/>
              </w:rPr>
              <w:t xml:space="preserve">DePIN</w:t>
            </w:r>
          </w:p>
        </w:tc>
        <w:tc>
          <w:tcPr/>
          <w:p>
            <w:r>
              <w:rPr>
                <w:sz w:val="20"/>
              </w:rPr>
              <w:t xml:space="preserve">0.038</w:t>
            </w:r>
          </w:p>
        </w:tc>
        <w:tc>
          <w:tcPr/>
          <w:p>
            <w:r>
              <w:rPr>
                <w:sz w:val="20"/>
              </w:rPr>
              <w:t xml:space="preserve">0.228</w:t>
            </w:r>
          </w:p>
        </w:tc>
        <w:tc>
          <w:tcPr/>
          <w:p>
            <w:r>
              <w:rPr>
                <w:sz w:val="20"/>
              </w:rPr>
              <w:t xml:space="preserve">6.0x</w:t>
            </w:r>
          </w:p>
        </w:tc>
        <w:tc>
          <w:tcPr/>
          <w:p>
            <w:r>
              <w:rPr>
                <w:sz w:val="20"/>
              </w:rPr>
              <w:t xml:space="preserve">Snapshot</w:t>
            </w:r>
          </w:p>
        </w:tc>
      </w:tr>
      <w:tr>
        <w:tc>
          <w:tcPr/>
          <w:p>
            <w:r>
              <w:rPr>
                <w:sz w:val="20"/>
              </w:rPr>
              <w:t xml:space="preserve">Lido</w:t>
            </w:r>
          </w:p>
        </w:tc>
        <w:tc>
          <w:tcPr/>
          <w:p>
            <w:r>
              <w:rPr>
                <w:sz w:val="20"/>
              </w:rPr>
              <w:t xml:space="preserve">DeFi</w:t>
            </w:r>
          </w:p>
        </w:tc>
        <w:tc>
          <w:tcPr/>
          <w:p>
            <w:r>
              <w:rPr>
                <w:sz w:val="20"/>
              </w:rPr>
              <w:t xml:space="preserve">0.018</w:t>
            </w:r>
          </w:p>
        </w:tc>
        <w:tc>
          <w:tcPr/>
          <w:p>
            <w:r>
              <w:rPr>
                <w:sz w:val="20"/>
              </w:rPr>
              <w:t xml:space="preserve">0.088</w:t>
            </w:r>
          </w:p>
        </w:tc>
        <w:tc>
          <w:tcPr/>
          <w:p>
            <w:r>
              <w:rPr>
                <w:sz w:val="20"/>
              </w:rPr>
              <w:t xml:space="preserve">4.8x</w:t>
            </w:r>
          </w:p>
        </w:tc>
        <w:tc>
          <w:tcPr/>
          <w:p>
            <w:r>
              <w:rPr>
                <w:sz w:val="20"/>
              </w:rPr>
              <w:t xml:space="preserve">Snapshot</w:t>
            </w:r>
          </w:p>
        </w:tc>
      </w:tr>
      <w:tr>
        <w:tc>
          <w:tcPr/>
          <w:p>
            <w:r>
              <w:rPr>
                <w:sz w:val="20"/>
              </w:rPr>
              <w:t xml:space="preserve">WeatherXM</w:t>
            </w:r>
          </w:p>
        </w:tc>
        <w:tc>
          <w:tcPr/>
          <w:p>
            <w:r>
              <w:rPr>
                <w:sz w:val="20"/>
              </w:rPr>
              <w:t xml:space="preserve">DePIN</w:t>
            </w:r>
          </w:p>
        </w:tc>
        <w:tc>
          <w:tcPr/>
          <w:p>
            <w:r>
              <w:rPr>
                <w:sz w:val="20"/>
              </w:rPr>
              <w:t xml:space="preserve">0.148</w:t>
            </w:r>
          </w:p>
        </w:tc>
        <w:tc>
          <w:tcPr/>
          <w:p>
            <w:r>
              <w:rPr>
                <w:sz w:val="20"/>
              </w:rPr>
              <w:t xml:space="preserve">0.486</w:t>
            </w:r>
          </w:p>
        </w:tc>
        <w:tc>
          <w:tcPr/>
          <w:p>
            <w:r>
              <w:rPr>
                <w:sz w:val="20"/>
              </w:rPr>
              <w:t xml:space="preserve">3.3x</w:t>
            </w:r>
          </w:p>
        </w:tc>
        <w:tc>
          <w:tcPr/>
          <w:p>
            <w:r>
              <w:rPr>
                <w:sz w:val="20"/>
              </w:rPr>
              <w:t xml:space="preserve">Snapshot</w:t>
            </w:r>
          </w:p>
        </w:tc>
      </w:tr>
      <w:tr>
        <w:tc>
          <w:tcPr/>
          <w:p>
            <w:r>
              <w:rPr>
                <w:sz w:val="20"/>
              </w:rPr>
              <w:t xml:space="preserve">Compound</w:t>
            </w:r>
          </w:p>
        </w:tc>
        <w:tc>
          <w:tcPr/>
          <w:p>
            <w:r>
              <w:rPr>
                <w:sz w:val="20"/>
              </w:rPr>
              <w:t xml:space="preserve">DeFi</w:t>
            </w:r>
          </w:p>
        </w:tc>
        <w:tc>
          <w:tcPr/>
          <w:p>
            <w:r>
              <w:rPr>
                <w:sz w:val="20"/>
              </w:rPr>
              <w:t xml:space="preserve">0.028</w:t>
            </w:r>
          </w:p>
        </w:tc>
        <w:tc>
          <w:tcPr/>
          <w:p>
            <w:r>
              <w:rPr>
                <w:sz w:val="20"/>
              </w:rPr>
              <w:t xml:space="preserve">0.053</w:t>
            </w:r>
          </w:p>
        </w:tc>
        <w:tc>
          <w:tcPr/>
          <w:p>
            <w:r>
              <w:rPr>
                <w:sz w:val="20"/>
              </w:rPr>
              <w:t xml:space="preserve">1.9x</w:t>
            </w:r>
          </w:p>
        </w:tc>
        <w:tc>
          <w:tcPr/>
          <w:p>
            <w:r>
              <w:rPr>
                <w:sz w:val="20"/>
              </w:rPr>
              <w:t xml:space="preserve">Tally</w:t>
            </w:r>
          </w:p>
        </w:tc>
      </w:tr>
      <w:tr>
        <w:tc>
          <w:tcPr/>
          <w:p>
            <w:r>
              <w:rPr>
                <w:sz w:val="20"/>
              </w:rPr>
              <w:t xml:space="preserve">Aave</w:t>
            </w:r>
          </w:p>
        </w:tc>
        <w:tc>
          <w:tcPr/>
          <w:p>
            <w:r>
              <w:rPr>
                <w:sz w:val="20"/>
              </w:rPr>
              <w:t xml:space="preserve">DeFi</w:t>
            </w:r>
          </w:p>
        </w:tc>
        <w:tc>
          <w:tcPr/>
          <w:p>
            <w:r>
              <w:rPr>
                <w:sz w:val="20"/>
              </w:rPr>
              <w:t>0.020</w:t>
            </w:r>
          </w:p>
        </w:tc>
        <w:tc>
          <w:tcPr/>
          <w:p>
            <w:r>
              <w:rPr>
                <w:sz w:val="20"/>
              </w:rPr>
              <w:t xml:space="preserve">0.076</w:t>
            </w:r>
          </w:p>
        </w:tc>
        <w:tc>
          <w:tcPr/>
          <w:p>
            <w:r>
              <w:rPr>
                <w:sz w:val="20"/>
              </w:rPr>
              <w:t>3.8x</w:t>
            </w:r>
          </w:p>
        </w:tc>
        <w:tc>
          <w:tcPr/>
          <w:p>
            <w:r>
              <w:rPr>
                <w:sz w:val="20"/>
              </w:rPr>
              <w:t xml:space="preserve">Tally</w:t>
            </w:r>
          </w:p>
        </w:tc>
      </w:tr>
      <w:tr>
        <w:tc>
          <w:tcPr/>
          <w:p>
            <w:r>
              <w:rPr>
                <w:sz w:val="20"/>
              </w:rPr>
              <w:t xml:space="preserve">Uniswap</w:t>
            </w:r>
          </w:p>
        </w:tc>
        <w:tc>
          <w:tcPr/>
          <w:p>
            <w:r>
              <w:rPr>
                <w:sz w:val="20"/>
              </w:rPr>
              <w:t xml:space="preserve">DeFi</w:t>
            </w:r>
          </w:p>
        </w:tc>
        <w:tc>
          <w:tcPr/>
          <w:p>
            <w:r>
              <w:rPr>
                <w:sz w:val="20"/>
              </w:rPr>
              <w:t>0.032</w:t>
            </w:r>
          </w:p>
        </w:tc>
        <w:tc>
          <w:tcPr/>
          <w:p>
            <w:r>
              <w:rPr>
                <w:sz w:val="20"/>
              </w:rPr>
              <w:t xml:space="preserve">0.068</w:t>
            </w:r>
          </w:p>
        </w:tc>
        <w:tc>
          <w:tcPr/>
          <w:p>
            <w:r>
              <w:rPr>
                <w:sz w:val="20"/>
              </w:rPr>
              <w:t>2.1x</w:t>
            </w:r>
          </w:p>
        </w:tc>
        <w:tc>
          <w:tcPr/>
          <w:p>
            <w:r>
              <w:rPr>
                <w:sz w:val="20"/>
              </w:rPr>
              <w:t xml:space="preserve">Tally</w:t>
            </w:r>
          </w:p>
        </w:tc>
      </w:tr>
      <w:tr>
        <w:tc>
          <w:tcPr/>
          <w:p>
            <w:r>
              <w:rPr>
                <w:sz w:val="20"/>
              </w:rPr>
              <w:t xml:space="preserve">Arbitrum</w:t>
            </w:r>
          </w:p>
        </w:tc>
        <w:tc>
          <w:tcPr/>
          <w:p>
            <w:r>
              <w:rPr>
                <w:sz w:val="20"/>
              </w:rPr>
              <w:t xml:space="preserve">Infra</w:t>
            </w:r>
          </w:p>
        </w:tc>
        <w:tc>
          <w:tcPr/>
          <w:p>
            <w:r>
              <w:rPr>
                <w:sz w:val="20"/>
              </w:rPr>
              <w:t>0.012</w:t>
            </w:r>
          </w:p>
        </w:tc>
        <w:tc>
          <w:tcPr/>
          <w:p>
            <w:r>
              <w:rPr>
                <w:sz w:val="20"/>
              </w:rPr>
              <w:t xml:space="preserve">0.052</w:t>
            </w:r>
          </w:p>
        </w:tc>
        <w:tc>
          <w:tcPr/>
          <w:p>
            <w:r>
              <w:rPr>
                <w:sz w:val="20"/>
              </w:rPr>
              <w:t>4.3x</w:t>
            </w:r>
          </w:p>
        </w:tc>
        <w:tc>
          <w:tcPr/>
          <w:p>
            <w:r>
              <w:rPr>
                <w:sz w:val="20"/>
              </w:rPr>
              <w:t xml:space="preserve">Tally</w:t>
            </w:r>
          </w:p>
        </w:tc>
      </w:tr>
      <w:tr>
        <w:tc>
          <w:tcPr/>
          <w:p>
            <w:r>
              <w:rPr>
                <w:sz w:val="20"/>
              </w:rPr>
              <w:t xml:space="preserve">Optimism</w:t>
            </w:r>
          </w:p>
        </w:tc>
        <w:tc>
          <w:tcPr/>
          <w:p>
            <w:r>
              <w:rPr>
                <w:sz w:val="20"/>
              </w:rPr>
              <w:t xml:space="preserve">Infra</w:t>
            </w:r>
          </w:p>
        </w:tc>
        <w:tc>
          <w:tcPr/>
          <w:p>
            <w:r>
              <w:rPr>
                <w:sz w:val="20"/>
              </w:rPr>
              <w:t>0.042</w:t>
            </w:r>
          </w:p>
        </w:tc>
        <w:tc>
          <w:tcPr/>
          <w:p>
            <w:r>
              <w:rPr>
                <w:sz w:val="20"/>
              </w:rPr>
              <w:t xml:space="preserve">0.033</w:t>
            </w:r>
          </w:p>
        </w:tc>
        <w:tc>
          <w:tcPr/>
          <w:p>
            <w:r>
              <w:rPr>
                <w:sz w:val="20"/>
              </w:rPr>
              <w:t>0.79x</w:t>
            </w:r>
          </w:p>
        </w:tc>
        <w:tc>
          <w:tcPr/>
          <w:p>
            <w:r>
              <w:rPr>
                <w:sz w:val="20"/>
              </w:rPr>
              <w:t xml:space="preserve">Tally</w:t>
            </w:r>
          </w:p>
        </w:tc>
      </w:tr>
    </w:tbl>
    <w:p>
      <w:pPr>
        <w:pStyle w:val="Heading2"/>
      </w:pPr>
      <w:r>
        <w:t>5.5 Hypothesis Evidence Status</w:t>
      </w:r>
    </w:p>
    <w:p>
      <w:r>
        <w:rPr>
          <w:b w:val="0"/>
        </w:rPr>
        <w:t>Most design hypotheses find at least partial empirical support in the governance data (Table 5). Additional case evidence for the hypotheses marked "not tested in this paper."</w:t>
      </w:r>
    </w:p>
    <w:tbl>
      <w:tblPr>
        <w:tblStyle w:val="TableGrid"/>
        <w:tblW w:type="dxa" w:w="8640"/>
        <w:tblLook w:firstColumn="1" w:firstRow="1" w:lastColumn="0" w:lastRow="0" w:noHBand="0" w:noVBand="1" w:val="04A0"/>
      </w:tblPr>
      <w:tblGrid>
        <w:gridCol w:w="2160"/>
        <w:gridCol w:w="1800"/>
        <w:gridCol w:w="1440"/>
        <w:gridCol w:w="3240"/>
      </w:tblGrid>
      <w:tr>
        <w:tc>
          <w:tcPr>
            <w:tcW w:type="dxa" w:w="2160"/>
          </w:tcPr>
          <w:p>
            <w:r>
              <w:rPr>
                <w:b/>
              </w:rPr>
              <w:t>Hypothesis</w:t>
            </w:r>
          </w:p>
        </w:tc>
        <w:tc>
          <w:tcPr>
            <w:tcW w:type="dxa" w:w="1800"/>
          </w:tcPr>
          <w:p>
            <w:r>
              <w:rPr>
                <w:b/>
              </w:rPr>
              <w:t>Evidence (this paper)</w:t>
            </w:r>
          </w:p>
        </w:tc>
        <w:tc>
          <w:tcPr>
            <w:tcW w:type="dxa" w:w="1440"/>
          </w:tcPr>
          <w:p>
            <w:r>
              <w:rPr>
                <w:b/>
              </w:rPr>
              <w:t>Verdict</w:t>
            </w:r>
          </w:p>
        </w:tc>
        <w:tc>
          <w:tcPr>
            <w:tcW w:type="dxa" w:w="3240"/>
          </w:tcPr>
          <w:p>
            <w:r>
              <w:rPr>
                <w:b/>
              </w:rPr>
              <w:t>Notes</w:t>
            </w:r>
          </w:p>
        </w:tc>
        <w:trPr>
          <w:tblHeader/>
        </w:trPr>
      </w:tr>
      <w:tr>
        <w:tc>
          <w:tcPr>
            <w:tcW w:type="dxa" w:w="2160"/>
          </w:tcPr>
          <w:p>
            <w:r>
              <w:t>H3.1 Publicity-Legitimacy</w:t>
            </w:r>
          </w:p>
        </w:tc>
        <w:tc>
          <w:tcPr>
            <w:tcW w:type="dxa" w:w="1800"/>
          </w:tcPr>
          <w:p>
            <w:r>
              <w:t>Quant (HHI cross-section)</w:t>
            </w:r>
          </w:p>
        </w:tc>
        <w:tc>
          <w:tcPr>
            <w:tcW w:type="dxa" w:w="1440"/>
          </w:tcPr>
          <w:p>
            <w:r>
              <w:t>Descriptive (concentration data consistent with publicity concerns; deliberation-quality metrics not collected)</w:t>
            </w:r>
          </w:p>
        </w:tc>
        <w:tc>
          <w:tcPr>
            <w:tcW w:type="dxa" w:w="3240"/>
          </w:tcPr>
          <w:p>
            <w:r>
              <w:t>HHI measures domination potential; deliberation-quality metrics not collected</w:t>
            </w:r>
          </w:p>
        </w:tc>
      </w:tr>
      <w:tr>
        <w:tc>
          <w:tcPr>
            <w:tcW w:type="dxa" w:w="2160"/>
          </w:tcPr>
          <w:p>
            <w:r>
              <w:t>H3.2 Contestability – Non-Domination</w:t>
            </w:r>
          </w:p>
        </w:tc>
        <w:tc>
          <w:tcPr>
            <w:tcW w:type="dxa" w:w="1800"/>
          </w:tcPr>
          <w:p>
            <w:r>
              <w:t>Quant (HHI cross-section)</w:t>
            </w:r>
          </w:p>
        </w:tc>
        <w:tc>
          <w:tcPr>
            <w:tcW w:type="dxa" w:w="1440"/>
          </w:tcPr>
          <w:p>
            <w:r>
              <w:t>Descriptive (HHI consistent with domination risk)</w:t>
            </w:r>
          </w:p>
        </w:tc>
        <w:tc>
          <w:tcPr>
            <w:tcW w:type="dxa" w:w="3240"/>
          </w:tcPr>
          <w:p>
            <w:r>
              <w:t>HHI &gt; 0.25 consistent with domination risk; testing contestation requires mechanism-level inventory</w:t>
            </w:r>
          </w:p>
        </w:tc>
      </w:tr>
      <w:tr>
        <w:tc>
          <w:tcPr>
            <w:tcW w:type="dxa" w:w="2160"/>
          </w:tcPr>
          <w:p>
            <w:r>
              <w:t>H3.3 Sinks Before Faucets</w:t>
            </w:r>
          </w:p>
        </w:tc>
        <w:tc>
          <w:tcPr>
            <w:tcW w:type="dxa" w:w="1800"/>
          </w:tcPr>
          <w:p>
            <w:r>
              <w:t>Not directly tested</w:t>
            </w:r>
          </w:p>
        </w:tc>
        <w:tc>
          <w:tcPr>
            <w:tcW w:type="dxa" w:w="1440"/>
          </w:tcPr>
          <w:p>
            <w:r>
              <w:t>Descriptive only</w:t>
            </w:r>
          </w:p>
        </w:tc>
        <w:tc>
          <w:tcPr>
            <w:tcW w:type="dxa" w:w="3240"/>
          </w:tcPr>
          <w:p>
            <w:r>
              <w:t>Fiscal sustainability not instrumentable with cross-sectional governance data; requires burn/emission flow analysis</w:t>
            </w:r>
          </w:p>
        </w:tc>
      </w:tr>
      <w:tr>
        <w:tc>
          <w:tcPr>
            <w:tcW w:type="dxa" w:w="2160"/>
          </w:tcPr>
          <w:p>
            <w:r>
              <w:t>H3.4 Service over Presence</w:t>
            </w:r>
          </w:p>
        </w:tc>
        <w:tc>
          <w:tcPr>
            <w:tcW w:type="dxa" w:w="1800"/>
          </w:tcPr>
          <w:p>
            <w:r>
              <w:t>Not directly tested</w:t>
            </w:r>
          </w:p>
        </w:tc>
        <w:tc>
          <w:tcPr>
            <w:tcW w:type="dxa" w:w="1440"/>
          </w:tcPr>
          <w:p>
            <w:r>
              <w:t>Indirect</w:t>
            </w:r>
          </w:p>
        </w:tc>
        <w:tc>
          <w:tcPr>
            <w:tcW w:type="dxa" w:w="3240"/>
          </w:tcPr>
          <w:p>
            <w:r>
              <w:t>DePIN-specific; requires operational data (proof-of-coverage, service quality) not available in governance snapshots</w:t>
            </w:r>
          </w:p>
        </w:tc>
      </w:tr>
      <w:tr>
        <w:tc>
          <w:tcPr>
            <w:tcW w:type="dxa" w:w="2160"/>
          </w:tcPr>
          <w:p>
            <w:r>
              <w:t>H3.5 Polycentric Adaptation</w:t>
            </w:r>
          </w:p>
        </w:tc>
        <w:tc>
          <w:tcPr>
            <w:tcW w:type="dxa" w:w="1800"/>
          </w:tcPr>
          <w:p>
            <w:r>
              <w:t>Indirect</w:t>
            </w:r>
          </w:p>
        </w:tc>
        <w:tc>
          <w:tcPr>
            <w:tcW w:type="dxa" w:w="1440"/>
          </w:tcPr>
          <w:p>
            <w:r>
              <w:t>Indirect</w:t>
            </w:r>
          </w:p>
        </w:tc>
        <w:tc>
          <w:tcPr>
            <w:tcW w:type="dxa" w:w="3240"/>
          </w:tcPr>
          <w:p>
            <w:r>
              <w:t>HHI does not measure polycentric structure; delegation patterns and council arrangements may reduce effective concentration</w:t>
            </w:r>
          </w:p>
        </w:tc>
      </w:tr>
    </w:tbl>
    <w:p>
      <w:r>
        <w:rPr/>
        <w:t>Evidence grades: Quant = computed from the governance concentration cross-section (this paper, N=13). Not directly tested = hypothesis not instrumentable with cross-sectional governance data. Not measured = data not instrumentable in current sample. Verdicts use the same vocabulary as the Integrity Ledger (Umbrella Table 1.1).</w:t>
      </w:r>
    </w:p>
    <w:p>
      <w:r>
        <w:rPr>
          <w:b w:val="0"/>
          <w:i/>
        </w:rPr>
        <w:t>Table 5. Design hypothesis evidence status.</w:t>
      </w:r>
    </w:p>
    <w:p>
      <w:r>
        <w:rPr>
          <w:b w:val="0"/>
        </w:rPr>
        <w:t>The governance concentration data (Table 4) provide descriptive evidence bearing on Hypotheses 3.1 (publicity-legitimacy) and 3.2 (contestability). Specifically, the finding that DePIN tokens are materially more concentrated than DeFi peers indicates that DePIN governance structures have not yet achieved the legitimacy properties these hypotheses require. The Anyone Protocol counterexample is consistent with the interpretation that low concentration is feasible, supporting the hypothesis that concentration reflects distribution design rather than structural necessity. Hypotheses 3.3 through 3.5 are not directly tested with the governance concentration data in this paper and require additional evidence (fiscal flow analysis, operational telemetry, and polycentric structure mapping respectively).</w:t>
      </w:r>
    </w:p>
    <w:p>
      <w:r>
        <w:t>5.6 Robustness: Alternative Concentration Metrics</w:t>
        <w:br/>
        <w:br/>
        <w:t>The holding concentration results use HHI as the primary metric. Three alternative measures computed for all 38 protocols confirm internal consistency: HHI and normalized Shannon entropy are strongly anti-correlated (r = -0.837), and HHI and Gini are moderately correlated (r = 0.439). Sector comparisons are directionally consistent across all four metrics (DePIN higher than DeFi) but no metric produces a significant DePIN-DeFi difference (Mann-Whitney p &gt; 0.4 for all four), confirming that the sector-invariance null is robust to metric choice.</w:t>
      </w:r>
    </w:p>
    <w:p>
      <w:pPr>
        <w:jc w:val="center"/>
      </w:pPr>
      <w:r>
        <w:drawing xmlns:a="http://schemas.openxmlformats.org/drawingml/2006/main" xmlns:pic="http://schemas.openxmlformats.org/drawingml/2006/picture">
          <wp:inline distT="0" distB="0" distL="0" distR="0">
            <wp:extent cx="5029200" cy="3017520"/>
            <wp:docPr id="106" name="Figure 6"/>
            <a:graphic>
              <a:graphicData uri="http://schemas.openxmlformats.org/drawingml/2006/picture">
                <pic:pic>
                  <pic:nvPicPr>
                    <pic:cNvPr id="106" name="Figure 6"/>
                    <pic:cNvPicPr/>
                  </pic:nvPicPr>
                  <pic:blipFill>
                    <a:blip r:embed="rId15"/>
                    <a:stretch>
                      <a:fillRect/>
                    </a:stretch>
                  </pic:blipFill>
                  <pic:spPr>
                    <a:xfrm>
                      <a:off x="0" y="0"/>
                      <a:ext cx="5029200" cy="3017520"/>
                    </a:xfrm>
                    <a:prstGeom prst="rect">
                      <a:avLst/>
                    </a:prstGeom>
                  </pic:spPr>
                </pic:pic>
              </a:graphicData>
            </a:graphic>
          </wp:inline>
        </w:drawing>
      </w:r>
    </w:p>
    <w:p>
      <w:pPr>
        <w:jc w:val="center"/>
      </w:pPr>
      <w:r>
        <w:rPr>
          <w:i/>
          <w:sz w:val="20"/>
        </w:rPr>
        <w:t xml:space="preserve">Figure 6. HHI vs. voter participation rate for protocols with governance data.</w:t>
      </w:r>
    </w:p>
    <w:p>
      <w:pPr>
        <w:pStyle w:val="Heading1"/>
      </w:pPr>
      <w:r>
        <w:t>6. Discussion</w:t>
      </w:r>
    </w:p>
    <w:p>
      <w:pPr>
        <w:pStyle w:val="Heading2"/>
      </w:pPr>
      <w:r>
        <w:t>6.1 Design Hypotheses</w:t>
      </w:r>
    </w:p>
    <w:p>
      <w:r>
        <w:t xml:space="preserve">Rather than evaluating each hypothesis in isolation, we organize the evidence thematically: what the governance data directly demonstrate, what they constrain but cannot confirm, and what lies beyond the current evidence base. </w:t>
      </w:r>
    </w:p>
    <w:p>
      <w:r>
        <w:t>Descriptive evidence: governance concentration patterns (Hypotheses 3.1 and 3.2, with implications for the Rawlsian fairness lens). The governance cross-section (Table 4) provides descriptive evidence most directly relevant to Hypotheses 3.1 (publicity-legitimacy) and 3.2 (contestability), with implications for the Rawlsian fairness lens. The normative framework interprets these governance concentration patterns as follows: when governance tokens are concentrated, the conditions these traditions identify as essential for legitimacy are structurally undermined. Protocols at the upper end of the concentration range (Livepeer at 0.199, WeatherXM at 0.148, GEODNET at 0.133) exhibit concentration levels the normative framework flags for scrutiny, though no protocol in the corrected cross-section exceeds the conventional 0.25 antitrust threshold. Even at these levels, governance decisions can disproportionately reflect a small set of holders’ preferences, making “public justification” structurally thin.</w:t>
        <w:br/>
        <w:t>These same protocols raise Rawlsian fairness concerns because operators who deploy hardware and deliver service hold insufficient tokens to influence governance outcomes affecting their investments.</w:t>
        <w:br/>
        <w:t>The republican non-domination condition is most directly measurable: concentration above the conventional threshold means few holders can override community preferences without formal contestation mechanisms. The counterexample (Anyone, HHI 0.040) demonstrates that these conditions are not inherent to DePIN architecture but reflect distribution design choices. Among DeFi benchmarks, Compound’s lower concentration (HHI 0.027) partly reflects active delegation, suggesting that institutional design can reduce effective concentration without token redistribution. Evidence grade: descriptive support for Hypotheses 3.1 and 3.2; the concentration data capture the conditions that publicity and non-domination traditions identify as problematic.</w:t>
      </w:r>
    </w:p>
    <w:p>
      <w:r>
        <w:t>Indirect signals: structural constraints on adaptivity (Hypotheses 3.4 and 3.5). The service-over-presence hypothesis (3.4) and the polycentric adaptation hypothesis (3.5) posit that governance structures incorporating diverse, edge-level input produce more adaptive systems. The HHI cross-section cannot test these claims directly because it measures token concentration, not governance structure diversity or information flow. However, the data reveal a structural constraint: edge-participant voice is suppressed when holdings are concentrated.</w:t>
        <w:br/>
        <w:t>Operators in DePIN networks who possess the most relevant operational knowledge (coverage gaps, hardware failure modes, local demand patterns) cannot influence governance decisions if they hold small token positions. The Helium case demonstrates this tension (Zukowski, 2026b): the HIP-147 reform succeeded partly because Helium’s governance process channeled edge-operator input despite concentrated holdings.</w:t>
        <w:br/>
        <w:t>The finding that delegation design affects concentration also indicates that polycentric features (subDAOs, councils, delegation hierarchies) may reduce effective concentration without requiring redistribution. Evidence grade: indirect; the concentration data identify structural constraints on adaptivity, but the adaptive mechanism itself requires longitudinal evidence beyond the scope of this cross-section. A companion simulation (Zukowski, 2026e) calibrated to Helium parameters documents that PID-controlled emission compresses node-count variance by sixfold across a 240-run Monte Carlo ensemble, raising the 5th-percentile node count from 1,049 (static emission) to 8,880 (PID-controlled). The mechanism’s primary value is floor-raising: it prevents the worst outcomes rather than improving averages, consistent with the Rawlsian fairness lens’s emphasis on protecting the least advantaged.</w:t>
      </w:r>
    </w:p>
    <w:p>
      <w:r>
        <w:rPr/>
        <w:t>A companion study (Zukowski, 2026b) documents a related concentration risk in DePIN fiscal sustainability: Helium’s aggregate Spend-to-Reward ratio crossed fiscal parity, but approximately five purchasers account for 90% of token burns, a concentration invisible to aggregate metrics. Governance concentration and demand concentration are distinct failure modes that can coexist: a protocol may be governance-concentrated but demand-diversified, or vice versa.</w:t>
      </w:r>
    </w:p>
    <w:p>
      <w:r>
        <w:t>Evidence gaps and research frontiers. Three directions lie beyond the reach of governance token data. First, capability-oriented evaluation (following Sen and Nussbaum) requires participant-level data on income, skill development, and infrastructure access that no protocol currently instruments at scale. Second, contextual integrity (following Floridi and Nissenbaum) requires trust and data governance metrics; the concentration finding raises a related concern, since concentrated governance means decisions about data use and privacy norms are made by a small group rather than by the community whose data is at stake. This concern is particularly relevant for protocols collecting location data (Helium), vehicle telemetry (DIMO), or health data (CUDIS). Third, cosmopolitan inclusion (following Appiah) identifies a tension the data confirm descriptively: most DePIN protocols have global operator bases but concentrated governance, meaning geographic inclusion coexists with governance exclusion. Testing whether cosmopolitan governance improves outcomes requires longitudinal analysis across jurisdictions.</w:t>
      </w:r>
    </w:p>
    <w:p>
      <w:r>
        <w:t>In sum, the governance cross-section provides descriptive evidence consistent with the two hypotheses most central to legitimacy (publicity-legitimacy, contestability) and with implications for the Rawlsian fairness lens, plus indirect evidence constraining the two hypotheses about adaptive governance (polycentricity, knowledge-use), and identifies three evidence frontiers (capability, contextual integrity, cosmopolitanism) that define the next phase of empirical work. The evidence frontiers identified here (service verification, contextual integrity, concentration dynamics) require new data collection infrastructure that does not yet exist in the DePIN ecosystem.</w:t>
      </w:r>
    </w:p>
    <w:p>
      <w:pPr>
        <w:pStyle w:val="Heading2"/>
      </w:pPr>
      <w:r>
        <w:t>6.2 Governance Design Implications</w:t>
      </w:r>
    </w:p>
    <w:p>
      <w:r>
        <w:rPr/>
        <w:t>The governance concentration evidence motivates specific institutional design questions. Five design implications translate the framework into mechanisms, grounded in executed evidence where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Low Barriers and Diverse Participation Governance concentration across 38 protocols with valid data (Gini 0.45–0.99; Table 4; Livepeer excluded due to bridge-schema measurement failure)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Optimism’s Citizens’ House) can reduce the gap between stake-weighted power and affected-party voice.</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Pettit’s non-domination principle requires that no single actor can exercise unchecked power. The concentration cross-section (Table 4) shows that some tokens sit in the “highly concentrated” regime even before delegated voting is considered (e.g., WXM holding HHI 0.148; DIMO 0.038). Among mature DeFi governance tokens, the CRV case (HHI 0.174, highest among DeFi peers in the sample) illustrates how locking mechanisms can concentrate governance: Convex controls approximately 47% of veCRV (DeFi Llama, 2026).</w:t>
        <w:br/>
        <w:t>Design implication: treat integrity as an institutional layer. Separation of powers (e.g., Optimism’s bicameral Token House / Citizens’ House), independent security councils or audit committees with narrowly scoped veto authority over security-critical changes. Mandatory timelocks and public disclosure requirements for large delegates are especially important in GeoDePINs where thousands of operators can be exposed to governance outcomes without holding meaningful token power.</w:t>
      </w:r>
    </w:p>
    <w:p>
      <w:r>
        <w:rPr/>
        <w:t>Appeals and Dispute Resolution Contestability requires formal appeal mechanisms. HIP-147’s acceptance (even by operators whose rewards were reduced; see Zukowski, 2026b) indicates that structured processes with clear rules produce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Ostrom’s principle of allowing rule evolution suggests building in periodic constitutional reviews, scheduled opportunities to adjust quorums, proposal formats, and role definitions based on participation data. An emergency governance protocol is also prudent: defining in advance who can act under crisis conditions (e.g., a smart contract exploit), with what authority, and subject to what retroactive accountability. This bounded emergency power paradoxically strengthens legitimacy by making deviations from normal process predictable and auditable.</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6.3 Broader Institutional Implications</w:t>
      </w:r>
    </w:p>
    <w:p>
      <w:r>
        <w:rPr>
          <w:b w:val="0"/>
        </w:rPr>
        <w:t>Three transfers extend these principles beyond tokenomics. First, the transparency principles operationalized through the Kantian publicity lens (Section 3) apply to any institution that claims legitimacy through openness: cooperative governance, public benefit corporations, and regulatory sandboxes face similar tensions between claimed transparency and operational opacity. Second, the governance concentration finding (Section 5) raises accountability questions that echo existing debates about corporate board composition and shareholder activism: who governs, and by what right? Third, the scoring rubric (Table 1) demonstrates that normative philosophy can be operationalized as measurement infrastructure, a methodological contribution that extends beyond blockchain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6.4 Risks and Counterpoints</w:t>
      </w:r>
    </w:p>
    <w:p>
      <w:r>
        <w:rPr>
          <w:b w:val="0"/>
          <w:i w:val="0"/>
        </w:rPr>
        <w:t>Several risks deserve candid acknowledgment.</w:t>
      </w:r>
    </w:p>
    <w:p>
      <w:r>
        <w:rPr>
          <w:b w:val="0"/>
        </w:rPr>
        <w:t>Philosophical overreach.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structured signals, not verdicts.</w:t>
      </w:r>
    </w:p>
    <w:p>
      <w:r>
        <w:rPr>
          <w:b w:val="0"/>
        </w:rPr>
        <w:t>Plutocratic concentration as equilibrium. The governance concentration data (Table 4) may reflect a stable equilibrium rather than a design flaw: if governance power accrues to those with the most skin in the game, concentration may be the efficient outcome.</w:t>
      </w:r>
    </w:p>
    <w:p>
      <w:r>
        <w:rPr>
          <w:b w:val="0"/>
        </w:rPr>
        <w:t>Distribution breadth at token launch may be a poor predictor of long-term governance concentration. Practitioner evidence documents participation declines of 50 percent or more after initial token distributions as recipients with short time horizons exit (Sawinyh, 2025). If exiting participants sell governance tokens into thin order books, concentrated buyers absorb the supply, and post-distribution HHI exceeds pre-distribution HHI. The result is a ratchet: broad initial allocation converges toward a concentrated steady state through secondary market dynamics rather than protocol design. The DePIN concentration levels in Table 4 are consistent with this pattern, though the single-snapshot design cannot distinguish concentration that was designed in from concentration that accumulated through post-launch trading.</w:t>
      </w:r>
    </w:p>
    <w:p>
      <w:r>
        <w:rPr>
          <w:b w:val="0"/>
        </w:rPr>
        <w:t>The counterargument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val="0"/>
        </w:rPr>
        <w:t>Measurement challenges. The scoring rubric depends on publicly observable design features, but some legitimacy-relevant properties (backroom governance, informal influence, regulatory relationships) are not observable on-chain. We specify inter-rater reliability protocols (Supplementary File S2)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the parameter-setting legitimacy deficit that the framework diagnoses under Hypotheses 3.1 and 3.2.</w:t>
      </w:r>
    </w:p>
    <w:p>
      <w:r>
        <w:rPr>
          <w:b w:val="0"/>
        </w:rPr>
        <w:t>Speed versus legitimacy trade-off.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6.5 Position in Literature</w:t>
      </w:r>
    </w:p>
    <w:p>
      <w:r>
        <w:rPr/>
        <w:t>This paper’s contribution is not a new philosophical theory but a new application: translating established normative frameworks (Kant, Rawls, Pettit, Ostrom, Hayek) into actionable design criteria for programmable institutions. It extends Werbach’s (2018) blockchain governance taxonomy, de Filippi &amp; Wright’s (2018) code-as-law analysis, and Reijers &amp; Coeckelbergh’s (2018) blockchain ethics framework by moving from descriptive classification to prescriptive mechanism design grounded in political philosophy. The GeoDePIN taxonomy and demand-concentration diagnostic are, to our knowledge, new to the literature.</w:t>
      </w:r>
    </w:p>
    <w:p>
      <w:r>
        <w:rPr/>
        <w:t>Mechanism Design and Institutional Economics. Classical mechanism design (Hurwicz, Myerson) optimizes for efficiency and incentive compatibility; this paper adds normative dimensions (fairness, contestability, capability) that mechanism design traditionally brackets. We build on Ostrom’s institutional analysis of commons governance, extending her framework from natural resource commons to digital infrastructure commons where coordination mechanisms are encoded in smart contracts rather than social norms. The governance concentration data (Table 4) provides the kind of empirical institutional comparison Ostrom advocated.</w:t>
      </w:r>
    </w:p>
    <w:p>
      <w:r>
        <w:rPr/>
        <w:t>Political Philosophy and Institutional Design. The philosophical framework (Section 3)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 The thesis demonstrates that philosophical principles are not merely aspirational but can be operationalized as measurable design criteria.</w:t>
      </w:r>
    </w:p>
    <w:p>
      <w:r>
        <w:rPr/>
        <w:t>Blockchain Governance Scholarship.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extends the literature on DePIN sustainability with longitudinal data showing how tokenomic design shifts affect burn-to-issuance trajectories.</w:t>
      </w:r>
    </w:p>
    <w:p>
      <w:r>
        <w:rPr/>
        <w:t>Token Engineering and Cryptoeconomics.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A cost comparison analysis developed separately contributes a practitioner-relevant benchmark that the token engineering literature currently lacks.</w:t>
      </w:r>
    </w:p>
    <w:p>
      <w:r>
        <w:rPr/>
        <w:t>The paper illustrates the value of interdisciplinary synthesis: applying humanities and social science frameworks to technical system design yields insights that neither discipline produces alone.</w:t>
      </w:r>
    </w:p>
    <w:p>
      <w:pPr>
        <w:pStyle w:val="Heading1"/>
      </w:pPr>
      <w:r>
        <w:t>7. Conclusion</w:t>
      </w:r>
    </w:p>
    <w:p>
      <w:pPr>
        <w:pStyle w:val="Heading2"/>
      </w:pPr>
      <w:r>
        <w:t>7.1 Summary</w:t>
      </w:r>
    </w:p>
    <w:p>
      <w:r>
        <w:rPr>
          <w:b w:val="0"/>
        </w:rPr>
        <w:t>No measured covariate robustly predicts governance concentration in the 38-protocol cross-section. The one nominally significant linear association (Pearson r = +0.56, p = 0.011, N = 20) does not survive rank-based testing (Spearman rho = +0.13, p = 0.60), log transformation (r = +0.23, p = 0.35), or exclusion of a single extreme observation (Livepeer; excluding: r = -0.08, N = 19). Protocol-controlled address contamination is a field-wide measurement problem: 56 addresses across 17 protocols were masquerading as governance participants, and removing them changed affected protocols’ HHI by up to 5x.</w:t>
      </w:r>
    </w:p>
    <w:p>
      <w:r>
        <w:t xml:space="preserve">DePIN protocols span a 268-fold subsidy range, from DIMO (0.33x, revenue-dominant) to Livepeer (88.5x, heavily subsidized). Despite this range, concentration does not track subsidy in any robust specification. Two pattern-breaking protocols are instructive: Aethir generates the highest DePIN revenue ($111M annualized) yet has the second-highest HHI (0.168), consistent with team and vesting wallet concentration in an early-stage protocol. Hivemapper operates at 5.46x subsidy yet has the lowest HHI among expansion protocols (0.020), consistent with broad geographic distribution of 90,000+ dashcam operators. These cases suggest that governance concentration reflects initial token allocation and operator-base structure rather than ongoing financial sustainability.</w:t>
      </w:r>
    </w:p>
    <w:p>
      <w:r>
        <w:t>Table 7 reports multivariate OLS regressions of HHI on protocol characteristics. The DePIN coefficient is positive across all specifications (Model 1: +0.028, p = 0.07, N = 24) but does not reach conventional significance. No individual covariate achieves p &lt; 0.10. The adjusted R-squared ranges from 0.01 to 0.08, confirming that measured covariates explain very little cross-sectional variation. The sample (N = 24 to 33 depending on specification) is underpowered for multivariate inference; the pipeline specification (Supplementary File S5) documents the infrastructure for replication at larger sample sizes.</w:t>
      </w:r>
    </w:p>
    <w:p>
      <w:r>
        <w:t xml:space="preserve">[Table 7. OLS regression of HHI on protocol characteristics. Robust SEs. Models 1-3: full sample, TT-independent covariates. * p &lt; 0.10, ** p &lt; 0.05, *** p &lt; 0.01.]</w:t>
      </w:r>
    </w:p>
    <w:p>
      <w:pPr>
        <w:pStyle w:val="Heading2"/>
      </w:pPr>
      <w:r>
        <w:t>7.2 Contributions</w:t>
      </w:r>
    </w:p>
    <w:p>
      <w:r>
        <w:rPr>
          <w:b w:val="0"/>
        </w:rPr>
        <w:t>This paper makes three contributions. First, a systematic exclusion methodology identifies 56 protocol-controlled addresses across 17 protocols that contaminate naive holder-list analysis, changing affected protocols’ HHI by up to 5x. Every prior study computing token HHI without this correction measured protocol architecture, not governance concentration. Second, a cross-sector null result documents that no measured covariate robustly predicts governance concentration: not sector membership, not initial token allocation (r = +0.08, p = 0.64, N = 33), not protocol maturity, not subsidy structure, and not token unlock progress (three float specifications, all |r| &lt; 0.05). Three protocols with subsidy ratios between 0.33x and 0.37x (DIMO, Aethir, Aave) have governance HHI values of 0.038, 0.168, and 0.020; financial sustainability is neither necessary nor sufficient for governance decentralization. Third, a normative framework translates five political-philosophical traditions into evaluable design criteria for tokenized institutions, bridging political philosophy and token engineering through a replicable scoring rubric.</w:t>
      </w:r>
    </w:p>
    <w:p>
      <w:pPr>
        <w:pStyle w:val="Heading2"/>
      </w:pPr>
      <w:r>
        <w:t>7.3 Limitations</w:t>
      </w:r>
    </w:p>
    <w:p>
      <w:r>
        <w:rPr>
          <w:b w:val="0"/>
        </w:rPr>
        <w:t>The evidence carries several limitations. The governance concentration analysis is a March 2026 snapshot: concentration trajectories over time would enable deconcentration analysis and strengthen causal claims. A single scorer has applied the scoring rubric; inter-rater reliability testing with independent scorers is needed before the rubric can claim measurement validity beyond its current proof-of-concept status. The sample of 35 sampled protocols is sufficient for descriptive comparison but too small for robust regression analysis; the pipeline specification (Supplementary File S5) is designed for expansion to 20+ protocols. The sample includes only active protocols, introducing potential survivorship bias (see Section 4.3 for planned inclusion of stagnated projects). We have not validated the Synergy Index against outcome measures; Partial validation through case evidence is reported separately, but a full validation study is future work.</w:t>
      </w:r>
    </w:p>
    <w:p>
      <w:pPr>
        <w:pStyle w:val="Heading2"/>
      </w:pPr>
      <w:r>
        <w:t>7.4 Future Research</w:t>
      </w:r>
    </w:p>
    <w:p>
      <w:r>
        <w:rPr>
          <w:b w:val="0"/>
        </w:rPr>
        <w:t>Three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Second, sample expansion: the pipeline is designed for N = 20+ protocols; reaching this threshold would enable the regression, panel, and event-study analyses currently specified as replication-ready designs. Third, inter-rater reliability: recruiting independent scorers to apply the rubric to overlapping protocol subsets would test whether the philosophical lens scores are reproducible and would strengthen the measurement claim.</w:t>
      </w:r>
    </w:p>
    <w:p>
      <w:pPr>
        <w:pStyle w:val="Heading2"/>
      </w:pPr>
      <w:r>
        <w:t>7.5 Closing</w:t>
      </w:r>
    </w:p>
    <w:p>
      <w:r>
        <w:rPr>
          <w:b w:val="0"/>
        </w:rPr>
        <w:t>If blockchains are to govern real resources and real communities, their institutional design must be held to real standards. This paper offers one path toward that standard: a framework rooted in the traditions that have shaped how societies evaluate legitimate governance, translated into tools that designers and evaluators can use. The governance concentration data suggest that the gap between aspiration and reality is wide. Closing that gap is a design problem, and design problems have solutions.</w:t>
      </w:r>
    </w:p>
    <w:p>
      <w:pPr>
        <w:pStyle w:val="Heading1"/>
      </w:pPr>
      <w:r>
        <w:t>Supplementary Material</w:t>
      </w:r>
    </w:p>
    <w:p>
      <w:r>
        <w:t>The following supplementary files accompany this paper:</w:t>
      </w:r>
    </w:p>
    <w:p>
      <w:r>
        <w:t xml:space="preserve">Supplementary File S1: Extended metric definitions, including the Synergy Index construction and inter-rater reliability specification for multi-coder deployment of the scoring rubric.</w:t>
      </w:r>
    </w:p>
    <w:p>
      <w:r>
        <w:t xml:space="preserve">Supplementary File S2: Research instrument templates, including the protocol codebook schema and scoring sheet template with worked examples.</w:t>
      </w:r>
    </w:p>
    <w:p>
      <w:r>
        <w:t xml:space="preserve">Supplementary File S3: Scoring tables (protocol × criterion matrices with evidence links) for all 11 scored protocols.</w:t>
      </w:r>
    </w:p>
    <w:p>
      <w:r>
        <w:t xml:space="preserve">Supplementary File S4: Events table for future event-study analyses.</w:t>
      </w:r>
    </w:p>
    <w:p>
      <w:r>
        <w:t xml:space="preserve">Supplementary File S5: Full empirical pipeline specification (16 analyses across five categories), including replication-ready design for cross-sectional, panel, event-study, and qualitative analyses.</w:t>
      </w:r>
    </w:p>
    <w:p>
      <w:r>
        <w:t>Supplementary File S6: Raw governance token distribution data (Dune Analytics SQL queries and results, March 2026 snapshot).</w:t>
      </w:r>
    </w:p>
    <w:p>
      <w:r>
        <w:t xml:space="preserve">Replication data: https://github.com/Research-Publications-and-Data/Tokenomics-As-Institutional_Design</w:t>
      </w:r>
    </w:p>
    <w:p>
      <w:pPr>
        <w:pStyle w:val="Heading1"/>
      </w:pPr>
      <w:r>
        <w:t>References</w:t>
      </w:r>
    </w:p>
    <w:p>
      <w:r>
        <w:t>Appiah, K. A. (2006). Cosmopolitanism: Ethics in a world of strangers. W. W. Norton.</w:t>
      </w:r>
    </w:p>
    <w:p>
      <w:r>
        <w:t>Aramonte, S., Huang, W., &amp; Schrimpf, A. (2021). DeFi risks and the decentralisation illusion. BIS Quarterly Review, December 2021, 21–36. https://www.bis.org/publ/qtrpdf/r_qt2112b.htm</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Buchanan, J. M., &amp; Tullock, G. (1962). The calculus of consent: Logical foundations of constitutional democracy. University of Michigan Press.</w:t>
      </w:r>
    </w:p>
    <w:p>
      <w:r>
        <w:t>Buterin, V., Conner, E., Dudley, R., Slipper, M., &amp; Norder, I. (2019). EIP-1559: Fee market change for ETH 1.0 chain (Ethereum Improvement Proposal). https://eips.ethereum.org/EIPS/eip-1559</w:t>
      </w:r>
    </w:p>
    <w:p>
      <w:r>
        <w:t>CoinGecko. (2026). Cryptocurrency market data. Retrieved March 2026, from https://www.coingecko.com</w:t>
      </w:r>
    </w:p>
    <w:p>
      <w:r>
        <w:t>Cong, L. W., Rabetti, D., Wang, C. C. Y., &amp; Yan, Y. (2025). Centralized governance in decentralized organizations (Draft: August 2025). Working Paper.</w:t>
      </w:r>
    </w:p>
    <w:p>
      <w:r>
        <w:t>Cosmos. (2026). IBC protocol documentation. https://cosmos.network/ibc</w:t>
      </w:r>
    </w:p>
    <w:p>
      <w:r>
        <w:t>DeepDAO. (2023). DAO governance analytics [Data set]. Retrieved 2023, from https://deepdao.io</w:t>
      </w:r>
    </w:p>
    <w:p>
      <w:r>
        <w:t>Dune Analytics. (2026). On-chain governance token holder data [Data set]. Retrieved March 2026, from https://dune.com</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Gersbach, H., Schneider, M., &amp; Shahkar, P. (2024). Effects of vote delegation in blockchains: Who wins? arXiv:2408.05410 (revised July 2025). https://doi.org/10.48550/arXiv.2408.05410</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Liu, Y., Makarov, I., &amp; Schoar, A. (2023). Anatomy of a run: The Terra Luna crash. NBER Working Paper No. 31160. https://doi.org/10.3386/w31160</w:t>
      </w:r>
    </w:p>
    <w:p>
      <w:r>
        <w:t>Myerson, R. B. (1981). Optimal auction design. Mathematics of Operations Research, 6(1), 58–73. https://doi.org/10.1287/moor.6.1.58</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Ostrom, E. (1990). Governing the commons: The evolution of institutions for collective action. Cambridge University Press.</w:t>
      </w:r>
    </w:p>
    <w:p>
      <w:r>
        <w:t>OpenGov.Watch. (2024). 2024-H1 Polkadot Treasury Report. https://www.opengov.watch/reports/treasury-reports/03_2024-treasury-report-h1</w:t>
      </w:r>
    </w:p>
    <w:p>
      <w:r>
        <w:t xml:space="preserve">Optimism. (2024). Optimism governance documentation: Citizens’ House. https://community.optimism.io/docs/governance/</w:t>
      </w:r>
    </w:p>
    <w:p>
      <w:r>
        <w:t>Pettit, P. (1997). Republicanism: A theory of freedom and government. Oxford University Press.</w:t>
      </w:r>
    </w:p>
    <w:p>
      <w:r>
        <w:t>Rawls, J. (1999). A theory of justice (Rev. ed.). Belknap Press of Harvard University Press. https://doi.org/10.4159/9780674042582 (Original work published 1971.)</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Shapira, L. (2022, July 26). Is Helium Really Doing $6,500 a Month in Revenue? DeWi on-chain analysis. https://x.com/liron/status/1552102241259163648</w:t>
      </w:r>
    </w:p>
    <w:p>
      <w:r>
        <w:t>Sen, A. (1999). Development as freedom. Alfred A. Knopf.</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Werner, S. M., Perez, D., Gudgeon, L., Klages-Mundt, A., Harz, D., &amp; Knottenbelt, W. J. (2022). SoK: Decentralized finance (DeFi). In Proceedings of the 4th ACM Conference on Advances in Financial Technologies (pp. 30–46). ACM. https://doi.org/10.1145/3558535.3559780</w:t>
      </w:r>
    </w:p>
    <w:p>
      <w:r>
        <w:t>Zukowski, Z. (2026b). GeoDePIN: Design patterns for decentralized geographic infrastructure. SSRN Working Paper. https://papers.ssrn.com/sol3/papers.cfm?abstract_id=6483619</w:t>
      </w:r>
    </w:p>
    <w:p>
      <w:r>
        <w:t>Zukowski, Z. (2026c). Routing the Dollar: Gateway infrastructure, monetary policy transmission, and the Dollar’s international functions in digital markets. SSRN Working Paper No. 6267698. https://papers.ssrn.com/sol3/papers.cfm?abstract_id=6267698</w:t>
      </w:r>
    </w:p>
    <w:p>
      <w:r>
        <w:t>Zukowski, Z. (2026d). Five Dollars: Legal structure, operator risk, and diligence divergence in tokenized dollar instruments. SSRN Working Paper [forthcoming].</w:t>
      </w:r>
    </w:p>
    <w:p>
      <w:r>
        <w:t>Zukowski, Z. (2026e). Tokenomics as systems engineering: Capital, labor, land, and the design of autonomous economies.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exhibit_initial_allocation.png"/><Relationship Id="rId13" Type="http://schemas.openxmlformats.org/officeDocument/2006/relationships/image" Target="media/exhibit_delegation_adjusted.png"/><Relationship Id="rId14" Type="http://schemas.openxmlformats.org/officeDocument/2006/relationships/image" Target="media/exhibit_concentration_participation.png"/><Relationship Id="rId15" Type="http://schemas.openxmlformats.org/officeDocument/2006/relationships/image" Target="media/exhibit_concentration_participati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