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9"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4"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Solana-side Sim API verification of 7 cross-protocol candidate addresses in</w:t>
      </w:r>
      <w:r>
        <w:t xml:space="preserve"> </w:t>
      </w:r>
      <w:hyperlink r:id="rId67">
        <w:r>
          <w:rPr>
            <w:rStyle w:val="Hyperlink"/>
          </w:rPr>
          <w:t xml:space="preserve">Supplementary File S13 addendum</w:t>
        </w:r>
      </w:hyperlink>
      <w:r>
        <w:t xml:space="preserve">; EVM-side universal CEX hot-wallet sweep across the N = 40 cross-section in</w:t>
      </w:r>
      <w:r>
        <w:t xml:space="preserve"> </w:t>
      </w:r>
      <w:hyperlink r:id="rId68">
        <w:r>
          <w:rPr>
            <w:rStyle w:val="Hyperlink"/>
          </w:rPr>
          <w:t xml:space="preserve">Supplementary File S19 phase 4 scope expansion</w:t>
        </w:r>
      </w:hyperlink>
      <w:r>
        <w:t xml:space="preserve">). The EVM sweep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second, structurally-distinct evidence path converges on the cross-protocol CEX-mediated concentration pattern at the Substrate validator-set layer. On Polkadot (Nominated Proof-of-Stake; standard holder-HHI returns 0.0017 mechanically by Phragmen-equalization design and is not the analytical surface where concentration manifests), a five-axis operator-attribution methodology combining Subscan Identity Pallet + Web3 Foundation Thousand Validators Programme registry + Layer-2 funding-source clustering + Polkawatch display-name matching + direct Polkawatch DDP API access lifts cumulative attribution from 16 percent of bonded stake (Identity Pallet baseline) to 53 percent (300 of 600 validators attributed) and surfaces Binance at 15 validators (3.72 percent of bonded stake), Coinbase at 12 validators, and EXNESS at 6 validators (the latter two invisible to all four on-chain attribution axes; operational accounts funded via relay-mixing patterns). Combined CEX-validator footprint is at least 27 validators across the Polkadot active set, a 69 percent increase in counted CEX presence relative to on-chain-only verification. The Polkadot evidence demonstrates that the EVM universal CEX-sweep pattern is not EVM-specific: cross-protocol CEX-mediated concentration generalizes to Substrate NPoS chains under appropriate methodology adaptation. Sister-finding: TAO (Bittensor) exhibits validator-network-layer concentration patterns analogous to Polkadot, suggesting the substrate-native L1+DePIN class warrants methodology adaptation as a coherent class rather than ad-hoc per-protocol treatment. Full multi-axis methodology + per-axis attribution decomposition + 47 percent structural attribution ceiling discussion + per-operator stake breakdown + operator-infrastructure-axis candidate (Hetzner / AWS / colocation / self-hosted classification surfaced via Polkawatch LastNetwork field) in</w:t>
      </w:r>
      <w:r>
        <w:t xml:space="preserve"> </w:t>
      </w:r>
      <w:hyperlink r:id="rId69">
        <w:r>
          <w:rPr>
            <w:rStyle w:val="Hyperlink"/>
          </w:rPr>
          <w:t xml:space="preserve">Supplementary File S16 DOT addendum</w:t>
        </w:r>
      </w:hyperlink>
      <w:r>
        <w:t xml:space="preserve">,</w:t>
      </w:r>
      <w:r>
        <w:t xml:space="preserve"> </w:t>
      </w:r>
      <w:hyperlink r:id="rId70">
        <w:r>
          <w:rPr>
            <w:rStyle w:val="Hyperlink"/>
          </w:rPr>
          <w:t xml:space="preserve">Supplementary File S19 verification execution</w:t>
        </w:r>
      </w:hyperlink>
      <w:r>
        <w:t xml:space="preserve">,</w:t>
      </w:r>
      <w:r>
        <w:t xml:space="preserve"> </w:t>
      </w:r>
      <w:hyperlink r:id="rId71">
        <w:r>
          <w:rPr>
            <w:rStyle w:val="Hyperlink"/>
          </w:rPr>
          <w:t xml:space="preserve">Polkawatch synthesis</w:t>
        </w:r>
      </w:hyperlink>
      <w:r>
        <w:t xml:space="preserve">,</w:t>
      </w:r>
      <w:r>
        <w:t xml:space="preserve"> </w:t>
      </w:r>
      <w:hyperlink r:id="rId72">
        <w:r>
          <w:rPr>
            <w:rStyle w:val="Hyperlink"/>
          </w:rPr>
          <w:t xml:space="preserve">Polkawatch API discovery</w:t>
        </w:r>
      </w:hyperlink>
      <w:r>
        <w:t xml:space="preserve">, and</w:t>
      </w:r>
      <w:r>
        <w:t xml:space="preserve"> </w:t>
      </w:r>
      <w:hyperlink r:id="rId73">
        <w:r>
          <w:rPr>
            <w:rStyle w:val="Hyperlink"/>
          </w:rPr>
          <w:t xml:space="preserve">Subscan refresh finding</w:t>
        </w:r>
      </w:hyperlink>
      <w:r>
        <w:t xml:space="preserve">; Section 5.7 documents the cross-architecture attribution-coverage asymmetry as a methodological limitation.</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74"/>
    <w:bookmarkEnd w:id="75"/>
    <w:bookmarkStart w:id="88"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7"/>
    <w:bookmarkEnd w:id="88"/>
    <w:bookmarkEnd w:id="89"/>
    <w:bookmarkStart w:id="101" w:name="discussion"/>
    <w:p>
      <w:pPr>
        <w:pStyle w:val="Heading1"/>
      </w:pPr>
      <w:r>
        <w:t xml:space="preserve">5 Discussion</w:t>
      </w:r>
    </w:p>
    <w:bookmarkStart w:id="90"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90"/>
    <w:bookmarkStart w:id="91"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91"/>
    <w:bookmarkStart w:id="92"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2"/>
    <w:bookmarkStart w:id="93"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3"/>
    <w:bookmarkStart w:id="94"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4"/>
    <w:bookmarkStart w:id="95"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5"/>
    <w:bookmarkStart w:id="96" w:name="limitations"/>
    <w:p>
      <w:pPr>
        <w:pStyle w:val="Heading2"/>
      </w:pPr>
      <w:r>
        <w:t xml:space="preserve">5.7 Limitations</w:t>
      </w:r>
    </w:p>
    <w:p>
      <w:pPr>
        <w:pStyle w:val="FirstParagraph"/>
      </w:pPr>
      <w:r>
        <w:t xml:space="preserve">The evidence reported here carries six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 Sixth,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in Section 4.5.5 are therefore reported as lower bounds for Substrate NPoS protocols; the same is not true for the EVM and Solana CEX-overlap findings, which use near-complete-coverage attribution data.</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6"/>
    <w:bookmarkStart w:id="99"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97">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Fifth, operator-infrastructure concentration as candidate sixth concentration axis. The Polkadot operator-attribution audit (Section 4.5.5;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future-cycle expansion target.</w:t>
      </w:r>
    </w:p>
    <w:p>
      <w:pPr>
        <w:pStyle w:val="BodyText"/>
      </w:pPr>
      <w:r>
        <w:t xml:space="preserve">B2’s forward agenda is empirical: convert the current cross-section into panel evidence, expand the sample, extend voting-HHI to coalition-based power measures, and evaluate operator-infrastructure as candidate sixth axis.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8">
        <w:r>
          <w:rPr>
            <w:rStyle w:val="Hyperlink"/>
          </w:rPr>
          <w:t xml:space="preserve">Supplementary File S17</w:t>
        </w:r>
      </w:hyperlink>
      <w:r>
        <w:t xml:space="preserve">.</w:t>
      </w:r>
    </w:p>
    <w:bookmarkEnd w:id="99"/>
    <w:bookmarkStart w:id="100"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100"/>
    <w:bookmarkEnd w:id="101"/>
    <w:bookmarkStart w:id="102"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102"/>
    <w:bookmarkStart w:id="103"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3"/>
    <w:bookmarkStart w:id="104"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4"/>
    <w:bookmarkStart w:id="105"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2026-05-27T09:55:59Z</dcterms:created>
  <dcterms:modified xsi:type="dcterms:W3CDTF">2026-05-27T09:55:59Z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