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0.023,</w:t>
      </w:r>
      <w:r>
        <w:t xml:space="preserve"> </w:t>
      </w:r>
      <w:r>
        <w:t xml:space="preserve">Cohen’s d = 1.00),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0.023, Cohen’s d = 1.00),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four-class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69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the cumulative supply share held by</w:t>
      </w:r>
      <w:r>
        <w:t xml:space="preserve"> </w:t>
      </w:r>
      <w:r>
        <w:t xml:space="preserve">the top 10 and top 100 holders within the post-exclusion top-1,000-holder</w:t>
      </w:r>
      <w:r>
        <w:t xml:space="preserve"> </w:t>
      </w:r>
      <w:r>
        <w:t xml:space="preserve">sample (one percent and ten percent of N = 1,000, respectively). For</w:t>
      </w:r>
      <w:r>
        <w:t xml:space="preserve"> </w:t>
      </w:r>
      <w:r>
        <w:t xml:space="preserve">protocols with fewer than 1,000 unique non-zero holders after exclusion,</w:t>
      </w:r>
      <w:r>
        <w:t xml:space="preserve"> </w:t>
      </w:r>
      <w:r>
        <w:t xml:space="preserve">the same percentile fractions apply to the actual N.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(69 addresses across 20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four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t xml:space="preserve">Across the four classes, this paper excludes 69 PCA addresses across</w:t>
      </w:r>
      <w:r>
        <w:t xml:space="preserve"> </w:t>
      </w:r>
      <w:r>
        <w:t xml:space="preserve">20 protocols (Supplementary File S6).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four-class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69 protocol-controlled addresses excluded across 20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0.043; Mann-Whitney p = 0.023,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0.006.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0.023, d = 1.00)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0.023, Cohen’s</w:t>
      </w:r>
      <w:r>
        <w:t xml:space="preserve"> </w:t>
      </w:r>
      <w:r>
        <w:t xml:space="preserve">d = 1.00)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0.023; Cohen’s d = 0.96 to 1.00;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0.023, d = 1.00),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69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four-class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0.023, Cohen’s</w:t>
      </w:r>
      <w:r>
        <w:t xml:space="preserve"> </w:t>
      </w:r>
      <w:r>
        <w:t xml:space="preserve">d = 1.00;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(69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2026-05-19T03:43:46Z</dcterms:created>
  <dcterms:modified xsi:type="dcterms:W3CDTF">2026-05-19T03:43:46Z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