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1"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 The Solana-side cross-protocol audit (whether the same institutional class operates on Realms and SPL Governance surfaces alongside its EVM presence) and the extension to off-Snapshot off-Tally governance surfaces remain measurement-priority items.</w:t>
      </w:r>
    </w:p>
    <w:bookmarkEnd w:id="66"/>
    <w:bookmarkEnd w:id="67"/>
    <w:bookmarkStart w:id="80"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76"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75">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75">
        <w:r>
          <w:rPr>
            <w:rStyle w:val="Hyperlink"/>
          </w:rPr>
          <w:t xml:space="preserve">Supplementary File S12</w:t>
        </w:r>
      </w:hyperlink>
      <w:r>
        <w:t xml:space="preserve">.</w:t>
      </w:r>
    </w:p>
    <w:bookmarkEnd w:id="76"/>
    <w:bookmarkStart w:id="78"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77">
        <w:r>
          <w:rPr>
            <w:rStyle w:val="Hyperlink"/>
          </w:rPr>
          <w:t xml:space="preserve">Supplementary File S10</w:t>
        </w:r>
      </w:hyperlink>
      <w:r>
        <w:t xml:space="preserve">.</w:t>
      </w:r>
    </w:p>
    <w:bookmarkEnd w:id="78"/>
    <w:bookmarkStart w:id="79"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9"/>
    <w:bookmarkEnd w:id="80"/>
    <w:bookmarkEnd w:id="81"/>
    <w:bookmarkStart w:id="93" w:name="discussion"/>
    <w:p>
      <w:pPr>
        <w:pStyle w:val="Heading1"/>
      </w:pPr>
      <w:r>
        <w:t xml:space="preserve">5 Discussion</w:t>
      </w:r>
    </w:p>
    <w:bookmarkStart w:id="82"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82"/>
    <w:bookmarkStart w:id="83"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83"/>
    <w:bookmarkStart w:id="84"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4"/>
    <w:bookmarkStart w:id="85"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5"/>
    <w:bookmarkStart w:id="86"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86"/>
    <w:bookmarkStart w:id="87"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7"/>
    <w:bookmarkStart w:id="88"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8"/>
    <w:bookmarkStart w:id="91"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9">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Section 4.5.5 documents the pattern across Snapshot and Tally surfaces (PGov, Tane Governance, Arana Digital present on both; 7 additional Tally-side institutional firms surfaced); extension to Solana governance surfaces (Realms, SPL Governance) remains the natural next step, alongside the off-Snapshot off-Tally surfaces (governance forums, off-chain coordination mechanisms) that the current cross-section does not cover.</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0">
        <w:r>
          <w:rPr>
            <w:rStyle w:val="Hyperlink"/>
          </w:rPr>
          <w:t xml:space="preserve">Supplementary File S17</w:t>
        </w:r>
      </w:hyperlink>
      <w:r>
        <w:t xml:space="preserve">.</w:t>
      </w:r>
    </w:p>
    <w:bookmarkEnd w:id="91"/>
    <w:bookmarkStart w:id="92"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92"/>
    <w:bookmarkEnd w:id="93"/>
    <w:bookmarkStart w:id="9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4"/>
    <w:bookmarkStart w:id="9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5"/>
    <w:bookmarkStart w:id="9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6"/>
    <w:bookmarkStart w:id="9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2026-05-27T06:27:12Z</dcterms:created>
  <dcterms:modified xsi:type="dcterms:W3CDTF">2026-05-27T06:27:12Z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