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r>
        <w:t>indicating that insider-heavy protocols have concentrated governance ecosystems, not merely concentrated insider positions.</w:t>
      </w:r>
      <w:r>
        <w:t xml:space="preserve"> DePIN protocols exhibit higher concentration than DeFi protocols (Mann-Whitney p = 0.031, Cohen’s d = 0.96),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D72, G34, L86, P48</w:t>
      </w:r>
    </w:p>
    <w:p>
      <w:pPr>
        <w:pStyle w:val="Heading 2"/>
        <w:spacing w:before="240"/>
      </w:pPr>
      <w:r>
        <w:rPr>
          <w:b/>
        </w:rPr>
        <w:t>Keywords: tokenomics, institutional design, governance concentration, DePIN, DAO governance, Herfindahl-Hirschman Index, token distribution, delegation, blockchain governance, political philosophy</w:t>
      </w:r>
      <w:r>
        <w:rPr/>
      </w:r>
    </w:p>
    <w:p>
      <w:pPr>
        <w:pStyle w:val="Heading1"/>
      </w:pPr>
      <w:r>
        <w:t>1. Introduction</w:t>
      </w:r>
    </w:p>
    <w:p>
      <w:pPr>
        <w:pStyle w:val="Heading2"/>
      </w:pPr>
      <w:r>
        <w:t>1.1 Motivation</w:t>
      </w:r>
    </w:p>
    <w:p>
      <w:r>
        <w:t xml:space="preserve">Three protocols with nearly identical subsidy ratios (DIMO at 0.33x, Aethir at 0.36x, and Aave at 0.37x) have governance HHI values of 0.038, 0.171, and 0.020 respectively. All three are revenue-dominant, yet their concentration spans the full range of the 40-protocol sample.</w:t>
      </w:r>
      <w:r>
        <w:t>Governance concentration is a secondary market outcome, shaped by post-distribution trading and accumulation dynamics that neither allocation design nor protocol financial characteristics predict.</w:t>
      </w:r>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(a blockchain contract verification tool)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r>
        <w:t>First, naive token holder lists include addresses that cannot vote: staking contracts, exchange custodians, vesting locks, and protocol treasuries. Across 20 protocols, 69 such addresses were included in prior concentration measurements, inflating affected protocols’ HHI by up to 5x.</w:t>
      </w:r>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0.96),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r>
        <w:t>documenting that neither revenue, subsidy intensity, token maturity, nor initial allocation predicts governance concentration</w:t>
      </w:r>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t>In practical terms: every decision about how tokens are distributed, who can vote, what can be changed, and how violations are punished is simultaneously an economic design choice and a political one.</w:t>
      </w:r>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r>
        <w:t>function as institutions: rule-governed systems</w:t>
      </w:r>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r>
        <w:t>that protocols marketed as decentralized frequently concentrate decision-making power among a small number of token holders, developers, or validators.</w:t>
      </w:r>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r>
        <w:t>voting power more unequally distributed than income in any country</w:t>
      </w:r>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t xml:space="preserve">Recent taxonomies formalize DePIN as a distinct coordination category with three architectural layers spanning distributed ledger, cryptoeconomic, and physical infrastructure dimensions (Ballandies et al., 2023), while Alshater (2026) synthesizes the token flywheel mechanism through which burn-and-mint equilibria bootstrap supply-side hardware deployment.</w:t>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(a Python-based simulation framework),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r>
        <w:t>mechanisms that permanently or temporarily remove tokens from circulation (burns, buybacks that retire tokens, locks that reduce tradeable supply).</w:t>
      </w:r>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r>
        <w:t>satisfies its legitimacy constraints if</w:t>
      </w:r>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1"/>
            <a:graphic>
              <a:graphicData uri="http://schemas.openxmlformats.org/drawingml/2006/picture">
                <pic:pic>
                  <pic:nvPicPr>
                    <pic:cNvPr id="2" name="Figure 1"/>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burn absorption rate accelerated from approximately 15% of emissions in mid-2024 to over 60% by early 2026 (Blockworks, 2026; Dune Analytics) while Helium's annual inflation fell below 2% (Zukowski, 2026b),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Zukowski, 2026b), and the trailing three-month S2R reached 0.18 by mid-2025.</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Figure 2"/>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r>
        <w:t>2 failed or stagnated protocols included to avoid studying only survivors</w:t>
      </w:r>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r>
        <w:t>Solana-native tokens (META, DRIFT, GRASS, W) required a separate data collection pipeline (Helius DAS API) because the primary indexer undercounted holders by two orders of magnitude; details are in Supplementary File S6.</w:t>
      </w:r>
      <w:r>
        <w:t/>
      </w:r>
    </w:p>
    <w:p>
      <w:r>
        <w:rPr>
          <w:i/>
          <w:sz w:val="18"/>
        </w:rPr>
        <w:t>Figure 3.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($156M annualized (Token Terminal, April 2026)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r>
        <w:t>the minimum token holding or gas expenditure required to submit a governance proposal or cast a meaningful vote.</w:t>
      </w:r>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12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r>
        <w:t>(for reference, a market with four equal competitors has HHI = 0.25)</w:t>
      </w:r>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r>
        <w:t>A high Synergy Index indicates that a protocol’s institutional design aligns with multiple normative traditions; it measures design intent, not governance effectiveness.</w:t>
      </w:r>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The cross-section covers 40 protocols across four sectors (DePIN, DeFi, infrastructure, social). Table 3 delimits the claims boundary: all findings are descriptive within the observed scope.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HHI ranges from 0.004 (Axelar) to 0.199 (Livepeer) across 40 protocols (Table 4), computed from Dune Analytics multi-chain queries and Helius DAS API (Solana’s Digital Asset Standard interface for token holder enumeration) token holder distributions (March 2026 snapshot) Subsidy-to-Revenue ratios for DePIN protocols were computed from protocol-native burn and emission events using the compute_s2r.py script in the replication package; input files include helium_s2r_cleaned.csv (34 months), geodnet_monthly_burns.csv, and geodnet_monthly_emissions.csv.. We report address-holding concentration after excluding 69 protocol-controlled addresses across 20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69 protocol-controlled addresses excluded across 20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0.96). DePIN mean HHI (0.090, N=15) exceeds DeFi mean HHI (0.043,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0.96 relative to DeFi).</w:t>
      </w:r>
      <w:r>
        <w:t/>
      </w:r>
    </w:p>
    <w:p>
      <w:pPr>
        <w:jc w:val="center"/>
      </w:pPr>
      <w:r>
        <w:drawing xmlns:a="http://schemas.openxmlformats.org/drawingml/2006/main" xmlns:pic="http://schemas.openxmlformats.org/drawingml/2006/picture">
          <wp:inline distT="0" distB="0" distL="0" distR="0">
            <wp:extent cx="5943600" cy="4938770"/>
            <wp:docPr id="107" name="Figure 4"/>
            <a:graphic>
              <a:graphicData uri="http://schemas.openxmlformats.org/drawingml/2006/picture">
                <pic:pic>
                  <pic:nvPicPr>
                    <pic:cNvPr id="107" name="Figure 4"/>
                    <pic:cNvPicPr/>
                  </pic:nvPicPr>
                  <pic:blipFill>
                    <a:blip r:embed="rId16"/>
                    <a:stretch>
                      <a:fillRect/>
                    </a:stretch>
                  </pic:blipFill>
                  <pic:spPr>
                    <a:xfrm>
                      <a:off x="0" y="0"/>
                      <a:ext cx="5943600" cy="4938770"/>
                    </a:xfrm>
                    <a:prstGeom prst="rect">
                      <a:avLst/>
                    </a:prstGeom>
                  </pic:spPr>
                </pic:pic>
              </a:graphicData>
            </a:graphic>
          </wp:inline>
        </w:drawing>
      </w:r>
    </w:p>
    <w:p>
      <w:pPr>
        <w:jc w:val="center"/>
      </w:pPr>
      <w:r>
        <w:rPr>
          <w:i/>
          <w:sz w:val="20"/>
        </w:rPr>
        <w:t xml:space="preserve">Figure 4. Governance concentration (HHI) by sector. DePIN mean (0.090) exceeds DeFi mean (0.043), with distributions overlapping substantially: 8 of 15 DePIN protocols fall within the DeFi range. The Mann-Whitney test (p = 0.031, d = 0.96) is sensitive to sample composition (significant in 23 of 30 leave-one-out iterations).</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r>
        <w:t>distribution-broadening</w:t>
      </w:r>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r>
        <w:t>complete measure of</w:t>
      </w:r>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0.37</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r>
        <w:t>a pattern where concentrated insider presence attracts or coexists with concentrated non-insider holders, rather than insider balances alone inflating the metric.</w:t>
      </w:r>
      <w:r>
        <w:t/>
      </w:r>
    </w:p>
    <w:p>
      <w:pPr>
        <w:jc w:val="center"/>
      </w:pPr>
      <w:r>
        <w:drawing xmlns:a="http://schemas.openxmlformats.org/drawingml/2006/main" xmlns:pic="http://schemas.openxmlformats.org/drawingml/2006/picture">
          <wp:inline distT="0" distB="0" distL="0" distR="0">
            <wp:extent cx="5029200" cy="3017520"/>
            <wp:docPr id="104" name="Figure 5"/>
            <a:graphic>
              <a:graphicData uri="http://schemas.openxmlformats.org/drawingml/2006/picture">
                <pic:pic>
                  <pic:nvPicPr>
                    <pic:cNvPr id="104" name="Figure 5"/>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5. Insider allocation (%) vs. corrected holding HHI for 37 regression-ready protocols. The null relationship (r = 0.19, p = 0.25) is the paper’s lead finding: initial allocation design does not predict post-distribution governance concentration.</w:t>
      </w:r>
    </w:p>
    <w:p>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Delegation amplifies DePIN governance concentration 3 to 6 times above holding levels, while infrastructure protocols show the reverse pattern (Table 6). 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6"/>
            <a:graphic>
              <a:graphicData uri="http://schemas.openxmlformats.org/drawingml/2006/picture">
                <pic:pic>
                  <pic:nvPicPr>
                    <pic:cNvPr id="105" name="Figure 6"/>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6. Raw holding HHI vs. delegation-adjusted HHI for five Tally-sourced protocols.</w:t>
      </w:r>
    </w:p>
    <w:p>
      <w:pPr>
        <w:pStyle w:val="Normal"/>
      </w:pPr>
      <w:r>
        <w:t xml:space="preserve">Figure 6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 The amplification ratio carries greater welfare consequences for DePIN than for DeFi because DePIN operators face higher exit costs. Hardware deployed for one network cannot be redeployed to a competing protocol the way liquidity can be moved between DeFi pools, making voice mechanisms (governance participation, appeals, delegation) the primary channel for expressing dissatisfaction when governance outcomes are unfavorable.</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0.96)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An expanded sample using Token Terminal revenue and incentive data across 22 protocols (14 DeFi and Infrastructure protocols via Token Terminal, plus 8 DePIN protocols with on-chain subsidy ratios) confirms the null: cross-sector Pearson r = 0.095 (p = 0.674), with no significant within-sector association in DeFi (r = 0.335, p = 0.379, N = 9) or DePIN (r = −0.147, p = 0.706, N = 9). A suggestive infrastructure-sector correlation (r = 0.952, p = 0.048, N = 4) is too small for inference. Full results are in Supplementary File S8.</w:t>
      </w:r>
    </w:p>
    <w:p>
      <w:pPr>
        <w:jc w:val="center"/>
      </w:pPr>
      <w:r>
        <w:drawing xmlns:a="http://schemas.openxmlformats.org/drawingml/2006/main" xmlns:pic="http://schemas.openxmlformats.org/drawingml/2006/picture">
          <wp:inline distT="0" distB="0" distL="0" distR="0">
            <wp:extent cx="5943600" cy="3901077"/>
            <wp:docPr id="108" name="Figure 7"/>
            <a:graphic>
              <a:graphicData uri="http://schemas.openxmlformats.org/drawingml/2006/picture">
                <pic:pic>
                  <pic:nvPicPr>
                    <pic:cNvPr id="108" name="Figure 7"/>
                    <pic:cNvPicPr/>
                  </pic:nvPicPr>
                  <pic:blipFill>
                    <a:blip r:embed="rId17"/>
                    <a:stretch>
                      <a:fillRect/>
                    </a:stretch>
                  </pic:blipFill>
                  <pic:spPr>
                    <a:xfrm>
                      <a:off x="0" y="0"/>
                      <a:ext cx="5943600" cy="3901077"/>
                    </a:xfrm>
                    <a:prstGeom prst="rect">
                      <a:avLst/>
                    </a:prstGeom>
                  </pic:spPr>
                </pic:pic>
              </a:graphicData>
            </a:graphic>
          </wp:inline>
        </w:drawing>
      </w:r>
    </w:p>
    <w:p>
      <w:pPr>
        <w:jc w:val="center"/>
      </w:pPr>
      <w:r>
        <w:rPr>
          <w:i/>
          <w:sz w:val="20"/>
        </w:rPr>
        <w:t xml:space="preserve">Figure 7. Subsidy ratio (emissions/revenue) vs. governance concentration (HHI) for 20 protocols with on-chain subsidy data. Livepeer (diamond, 88.5x) is a 3.5-sigma outlier that alone drives the Pearson correlation from r = 0.13 (dashed line, excluding Livepeer) to r = 0.58 (solid line, full sample). The expanded Token Terminal sample (N = 22, Supplementary File S8) confirms the null at r = 0.095.</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8"/>
            <a:graphic>
              <a:graphicData uri="http://schemas.openxmlformats.org/drawingml/2006/picture">
                <pic:pic>
                  <pic:nvPicPr>
                    <pic:cNvPr id="106" name="Figure 8"/>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8. HHI vs. voter participation rate for protocols with governance data.</w:t>
      </w:r>
    </w:p>
    <w:p>
      <w:pPr>
        <w:pStyle w:val="Heading1"/>
      </w:pPr>
      <w:r>
        <w:t>6. Discussion</w:t>
      </w:r>
    </w:p>
    <w:p>
      <w:pPr>
        <w:pStyle w:val="Heading2"/>
      </w:pPr>
      <w:r>
        <w:t>6.1 Design Hypotheses</w:t>
      </w:r>
    </w:p>
    <w:p>
      <w:r>
        <w:t xml:space="preserve">The governance cross-section provides descriptive evidence for two hypotheses (publicity, contestability), indirect evidence for two (adaptivity, polycentricity), and identifies three evidence frontiers (capability, contextual integrity, cosmopolitanism). We organize the discussion by what the data directly demonstrate, what they constrain,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r>
        <w:t>the operators and users closest to the service (those with the most relevant operational knowledge) cannot influence governance decisions if they hold small token positions.</w:t>
      </w:r>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 The same companion study provides the strongest longitudinal test of Hypotheses 3.3 and 3.4 in the current program. Helium’s S2R trajectory over 34 months (May 2023 to February 2026) documents how demand-coupled burns drove S2R from 0.007 under presence-based rewards to 2.06 after transitioning to service-verified rewards and completing the August 2025 halving (Zukowski, 2026b), with DC burns exceeding direct HNT emissions by approximately 2:1 and contributing to a net annual deflation rate of approximately 3–4% (Blockworks, 2026). The trajectory is consistent with H3.3: the sink (Data Credit burns) was deployed and observable before the emission reduction, and the combination produced a sustained surplus at the subnetwork level. It is also consistent with H3.4: the shift from coverage-based to service-based rewards coincided with the transition from negligible revenue ($6,500 per month across 975,000 IoT hotspots) to $16.8 million annualized (Blockworks, 2026). Neither hypothesis is confirmed by a single case, but the directional evidence is the strongest available in the DePIN sector.</w:t>
      </w:r>
    </w:p>
    <w:p>
      <w:r>
        <w:t xml:space="preserve">Resource Dependence Theory (Pfeffer &amp; Salancik, 1978) predicts that demand concentration transfers strategic leverage to concentrated buyers independent of governance token distribution, creating a vulnerability that governance reforms alone cannot address; the companion study (Zukowski, 2026b) documents this separation empirically across four DePIN protocols.</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a companion vertical study confirms this gap across a 13-protocol DePIN sample (Zukowski, 2026b).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r>
        <w:t>because its cross-chain bridge architecture prevents accurate Gini computation from single-chain holder data</w:t>
      </w:r>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r>
        <w:t>comparable indicators, not definitive judgments.</w:t>
      </w:r>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r>
        <w:t xml:space="preserve">the tension between centralized operational decisions and decentralized governance that Hypotheses 3.1 (transparency) and 3.2 (contestability) are designed to address.</w:t>
      </w:r>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(Zukowski, 2026b)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0.96), a pattern consistent with hardware network economics concentrating governance power among infrastructure operators.</w:t>
      </w:r>
    </w:p>
    <w:p>
      <w:r>
        <w:t xml:space="preserve">        </w:t>
      </w:r>
      <w:r>
        <w:t>DePIN protocols vary enormously in their dependence on token subsidies: DIMO earns three times more in revenue than it pays in token rewards (subsidy ratio 0.33x), while Livepeer pays 88 times more in rewards than it earns (88.5x).</w:t>
      </w:r>
      <w:r>
        <w:t xml:space="preserve"> Despite this range, concentration does not track subsidy in any robust specification. Two pattern-breaking protocols are instructive: Aethir generates the highest DePIN revenue ($156M annualized (Token Terminal, April 2026))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r>
        <w:t>too small to reliably estimate the independent effect of each variable when controlling for the others;</w:t>
      </w:r>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69 protocol-controlled addresses across 20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nearly identical subsidy ratios (DIMO at 0.33x, Aethir at 0.36x, Aave at 0.37x)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r>
        <w:t xml:space="preserve">tracking concentration over time would reveal whether protocols are becoming more or less concentrated and strengthen causal claims.</w:t>
      </w:r>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12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confirming the subsidy-concentration null at expanded sample size.</w:t>
      </w:r>
    </w:p>
    <w:p>
      <w:r>
        <w:t xml:space="preserve">Replication data: https://github.com/Research-Publications-and-Data/Tokenomics-As-Institutional_Design</w:t>
      </w:r>
    </w:p>
    <w:p>
      <w:pPr>
        <w:pStyle w:val="Heading1"/>
      </w:pPr>
      <w:r>
        <w:t>References</w:t>
      </w:r>
    </w:p>
    <w:p>
      <w:r>
        <w:t xml:space="preserve">Alshater, M. M. (2026). Decentralized physical infrastructure networks (DePIN) tokenomics. Frontiers in Blockchain.</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 xml:space="preserve">Ballandies, M. C., Wang, H., Law, A. C. C., Yang, J. C., Gosken, C., &amp; Andrew, M. (2023). A taxonomy for blockchain-based decentralized physical infrastructure networks (DePIN). 2023 IEEE 9th World Forum on Internet of Things (WF-IoT).</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 xml:space="preserve">Pfeffer, J., &amp; Salancik, G. R. (1978). The external control of organizations: A resource dependence perspective. Harper &amp; Row.</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 Id="rId16" Type="http://schemas.openxmlformats.org/officeDocument/2006/relationships/image" Target="media/exhibit_sector_comparison.png"/>

  <Relationship Id="rId17" Type="http://schemas.openxmlformats.org/officeDocument/2006/relationships/image" Target="media/exhibit_subsidy_vs_hhi.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