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the sector contrast is robust in direction across leave-one-out, permutation, and a powered multivariate specification, with statistical significance conditional on applying the protocol-controlled-address and exchange-custody exclusion symmetrically across sectors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establishes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0.011, Cohen’s d = 1.05),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§3 specifies the data and methods, §4 reports the results, and the four contributions stated in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Voter Stake Registry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(the exclusions log contains</w:t>
      </w:r>
      <w:r>
        <w:t xml:space="preserve"> </w:t>
      </w:r>
      <w:r>
        <w:t xml:space="preserve">the address-by-address documentation), but the generalizable typology</w:t>
      </w:r>
      <w:r>
        <w:t xml:space="preserve"> </w:t>
      </w:r>
      <w:r>
        <w:t xml:space="preserve">that future replication and extension work can apply uniformly.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0.07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0.011, Cohen’s d = 1.05) is robust to sample composition. The test remains significant</w:t>
      </w:r>
      <w:r>
        <w:t xml:space="preserve"> </w:t>
      </w:r>
      <w:r>
        <w:t xml:space="preserve">in all 30 of 30 leave-one-out iterations (per-iteration p range: 0.006</w:t>
      </w:r>
      <w:r>
        <w:t xml:space="preserve"> </w:t>
      </w:r>
      <w:r>
        <w:t xml:space="preserve">to 0.020; Cohen’s d range: 0.97 to 1.17; per-iteration LOO data (see Supplementary Figure S5b in Supplementary File S5 for the LOO forest plot) covers the per-</w:t>
      </w:r>
      <w:r>
        <w:t xml:space="preserve"> </w:t>
      </w:r>
      <w:r>
        <w:t xml:space="preserve">iteration forest plot with bootstrap 95% CI on the headline d). No single dropped</w:t>
      </w:r>
      <w:r>
        <w:t xml:space="preserve"> </w:t>
      </w:r>
      <w:r>
        <w:t xml:space="preserve">protocol pushes the per-iteration p-value above 0.020, and no single</w:t>
      </w:r>
      <w:r>
        <w:t xml:space="preserve"> </w:t>
      </w:r>
      <w:r>
        <w:t xml:space="preserve">protocol uniquely drives the result. A two-sided permutation</w:t>
      </w:r>
      <w:r>
        <w:t xml:space="preserve"> </w:t>
      </w:r>
      <w:r>
        <w:t xml:space="preserve">test (100,000 random reassignments of sector labels) yields p = 0.004,</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[+0.016,</w:t>
      </w:r>
      <w:r>
        <w:t xml:space="preserve"> </w:t>
      </w:r>
      <w:r>
        <w:t xml:space="preserve">+0.070] HHI points, strictly excluding zero; the Cohen’s d 95%</w:t>
      </w:r>
      <w:r>
        <w:t xml:space="preserve"> </w:t>
      </w:r>
      <w:r>
        <w:t xml:space="preserve">percentile interval is [0.56, 1.72], strictly above the small-effect</w:t>
      </w:r>
      <w:r>
        <w:t xml:space="preserve"> </w:t>
      </w:r>
      <w:r>
        <w:t xml:space="preserve">threshold and including the conventional large-effect threshold (d = 0.8; Cohen, 1988)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establish that the direction and magnitude of delegation’s effect are design-tractable rather than mechanism-inevitable.</w:t>
      </w:r>
    </w:p>
    <w:bookmarkEnd w:id="96"/>
    <w:bookmarkStart w:id="97"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p>
    <w:p>
      <w:pPr>
        <w:pStyle w:val="BodyText"/>
      </w:pPr>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p>
    <w:p>
      <w:pPr>
        <w:pStyle w:val="BodyText"/>
      </w:pPr>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w:t>
      </w:r>
    </w:p>
    <w:p>
      <w:pPr>
        <w:pStyle w:val="BodyText"/>
      </w:pPr>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p>
    <w:p>
      <w:pPr>
        <w:pStyle w:val="BodyText"/>
      </w:pPr>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p>
    <w:p>
      <w:pPr>
        <w:pStyle w:val="BodyText"/>
      </w:pPr>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p>
    <w:p>
      <w:pPr>
        <w:pStyle w:val="BodyText"/>
      </w:pPr>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2026-06-01T05:14:58Z</dcterms:created>
  <dcterms:modified xsi:type="dcterms:W3CDTF">2026-06-01T05:14:58Z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