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cover-letter-b2-r2-submission"/>
    <w:p>
      <w:pPr>
        <w:pStyle w:val="Heading1"/>
      </w:pPr>
      <w:r>
        <w:t xml:space="preserve">Cover letter: B2 R2 submission</w:t>
      </w:r>
    </w:p>
    <w:p>
      <w:pPr>
        <w:pStyle w:val="FirstParagraph"/>
      </w:pPr>
      <w:r>
        <w:rPr>
          <w:b/>
          <w:bCs/>
        </w:rPr>
        <w:t xml:space="preserve">To:</w:t>
      </w:r>
      <w:r>
        <w:t xml:space="preserve"> </w:t>
      </w:r>
      <w:r>
        <w:t xml:space="preserve">Dr. Ingrid Vasiliu-Feltes, Frontiers in Blockchain</w:t>
      </w:r>
      <w:r>
        <w:t xml:space="preserve"> </w:t>
      </w:r>
      <w:r>
        <w:rPr>
          <w:b/>
          <w:bCs/>
        </w:rPr>
        <w:t xml:space="preserve">From:</w:t>
      </w:r>
      <w:r>
        <w:t xml:space="preserve"> </w:t>
      </w:r>
      <w:r>
        <w:t xml:space="preserve">Zach Zukowski (Tokenization Systems; zach@tokenization.systems)</w:t>
      </w:r>
      <w:r>
        <w:t xml:space="preserve"> </w:t>
      </w:r>
      <w:r>
        <w:rPr>
          <w:b/>
          <w:bCs/>
        </w:rPr>
        <w:t xml:space="preserve">Re:</w:t>
      </w:r>
      <w:r>
        <w:t xml:space="preserve"> </w:t>
      </w:r>
      <w:r>
        <w:t xml:space="preserve">Governance Concentration Beyond Token Allocation: A Protocol-Address-Corrected Cross-Sectional Audit of 52 DePIN and DeFi Protocols (Manuscript ID 1853465; SSRN 6599278)</w:t>
      </w:r>
      <w:r>
        <w:t xml:space="preserve"> </w:t>
      </w:r>
      <w:r>
        <w:rPr>
          <w:b/>
          <w:bCs/>
        </w:rPr>
        <w:t xml:space="preserve">Working title (5 words):</w:t>
      </w:r>
      <w:r>
        <w:t xml:space="preserve"> </w:t>
      </w:r>
      <w:r>
        <w:t xml:space="preserve">Governance Concentration Beyond Token Allocation</w:t>
      </w:r>
      <w:r>
        <w:t xml:space="preserve"> </w:t>
      </w:r>
      <w:r>
        <w:rPr>
          <w:b/>
          <w:bCs/>
        </w:rPr>
        <w:t xml:space="preserve">Title note:</w:t>
      </w:r>
      <w:r>
        <w:t xml:space="preserve"> </w:t>
      </w:r>
      <w:r>
        <w:t xml:space="preserve">The full title revises the R1 submission title</w:t>
      </w:r>
      <w:r>
        <w:t xml:space="preserve"> </w:t>
      </w:r>
      <w:r>
        <w:t xml:space="preserve">“Governance Concentration Beyond Token Allocation: An Institutional Design Analysis of DePIN and DeFi”</w:t>
      </w:r>
      <w:r>
        <w:t xml:space="preserve"> </w:t>
      </w:r>
      <w:r>
        <w:t xml:space="preserve">by preserving the lead phrase exactly and reframing the subtitle from theory-framing (</w:t>
      </w:r>
      <w:r>
        <w:t xml:space="preserve">“An Institutional Design Analysis”</w:t>
      </w:r>
      <w:r>
        <w:t xml:space="preserve">) to empirical-audit framing (</w:t>
      </w:r>
      <w:r>
        <w:t xml:space="preserve">“A Protocol-Address-Corrected Cross-Sectional Audit of 52 DePIN and DeFi Protocols”</w:t>
      </w:r>
      <w:r>
        <w:t xml:space="preserve">). The R1 lead-phrase preservation is deliberate: it provides editorial-system continuity (the working title matches the R1 lead phrase exactly), while the new subtitle signals the reframing toward the empirical-measurement contribution. The institutional-design-and-philosophical-interpretation thread has been moved to a companion paper (Zukowski, 2026e), allowing the title and abstract to lead directly with the audit contribution.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2026-05-31</w:t>
      </w:r>
      <w:r>
        <w:t xml:space="preserve"> </w:t>
      </w:r>
      <w:r>
        <w:rPr>
          <w:b/>
          <w:bCs/>
        </w:rPr>
        <w:t xml:space="preserve">Round:</w:t>
      </w:r>
      <w:r>
        <w:t xml:space="preserve"> </w:t>
      </w:r>
      <w:r>
        <w:t xml:space="preserve">R2 revision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Dr. Vasiliu-Feltes and Reviewers,</w:t>
      </w:r>
    </w:p>
    <w:p>
      <w:pPr>
        <w:pStyle w:val="BodyText"/>
      </w:pPr>
      <w:r>
        <w:t xml:space="preserve">I am submitting the R2 revision of</w:t>
      </w:r>
      <w:r>
        <w:t xml:space="preserve"> </w:t>
      </w:r>
      <w:r>
        <w:t xml:space="preserve">“Governance Concentration Beyond Token Allocation: A Protocol-Address-Corrected Cross-Sectional Audit of 52 DePIN and DeFi Protocols”</w:t>
      </w:r>
      <w:r>
        <w:t xml:space="preserve"> </w:t>
      </w:r>
      <w:r>
        <w:t xml:space="preserve">addressing Reviewer 1’s four Round 2 issues and incorporating substantial strengthening across data, methodology, and manuscript architecture. Point-by-point responses to all four reviewer issues are documented in the accompanying response document (</w:t>
      </w:r>
      <w:r>
        <w:rPr>
          <w:rStyle w:val="VerbatimChar"/>
        </w:rPr>
        <w:t xml:space="preserve">2026-05-26_R2_responses_master.md</w:t>
      </w:r>
      <w:r>
        <w:t xml:space="preserve">), which is structured for direct copy-paste into the Frontiers reviewer-response web form.</w:t>
      </w:r>
    </w:p>
    <w:bookmarkStart w:id="9" w:name="manuscript-identity-change-since-r1"/>
    <w:p>
      <w:pPr>
        <w:pStyle w:val="Heading2"/>
      </w:pPr>
      <w:r>
        <w:t xml:space="preserve">Manuscript identity change since R1</w:t>
      </w:r>
    </w:p>
    <w:p>
      <w:pPr>
        <w:pStyle w:val="FirstParagraph"/>
      </w:pPr>
      <w:r>
        <w:t xml:space="preserve">The manuscript has been reframed around its empirical-measurement contribution. The R1 manuscript developed a five-lens philosophical framework integrated with empirical results; the revised manuscript leads with the measurement contributions and routes the philosophical-interpretation thread to a companion paper. This reframing preserves every R1 statistical finding. What is different is the architecture: empirical contributions are now the spine, with normative interpretation moved to a companion paper that develops the Polanyian fourth-fictitious-commodity argument at the depth that thesis warrants.</w:t>
      </w:r>
    </w:p>
    <w:p>
      <w:pPr>
        <w:pStyle w:val="BodyText"/>
      </w:pPr>
      <w:r>
        <w:t xml:space="preserve">The revised manuscript reports four empirical contributions (Section 5.6):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Generalizable PCA exclusion methodology</w:t>
      </w:r>
      <w:r>
        <w:t xml:space="preserve"> </w:t>
      </w:r>
      <w:r>
        <w:t xml:space="preserve">(Section 3.8) - 133 protocol-controlled-address exclusions across 38 protocols correcting systematic HHI inflation in prior holder-list studies (median inflation factor 2.3x; maximum approximately 18x at RENDER). The five-class typology (burn-destination; foundation/treasury custody; staking-aggregation contracts; bridge custody and migration addresses; centralized exchange custody) generalizes to any cross-protocol governance HHI analysis on ERC-20 or SPL token holders.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Allocation-null with insider-retention contrast</w:t>
      </w:r>
      <w:r>
        <w:t xml:space="preserve"> </w:t>
      </w:r>
      <w:r>
        <w:t xml:space="preserve">(Section 4.4) - Initial team-and-investor allocation does not explain post-distribution concentration in the 37-protocol allocation subsample (Pearson r = 0.05, p = 0.76); current insider wallet presence among top-10 holders is associated with concentration (Spearman rho = 0.48, p = 0.003, N = 37; the count-based non-insider HHI tautology check at rho = 0.54, p = 0.001, N = 34 supports this as more than an arithmetic artifact).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Corrected sector contrast</w:t>
      </w:r>
      <w:r>
        <w:t xml:space="preserve"> </w:t>
      </w:r>
      <w:r>
        <w:t xml:space="preserve">(Section 4.3) - DePIN governance concentration exceeds DeFi after PCA correction (Mann-Whitney p = 0.020, Cohen’s d = 0.94, N = 15/15; robust in 30/30 leave-one-out iterations; permutation test p = 0.012; bootstrap 95% percentile interval on mean difference [+0.012, +0.069]).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Predominant delegation amplification with five structural exceptions</w:t>
      </w:r>
      <w:r>
        <w:t xml:space="preserve"> </w:t>
      </w:r>
      <w:r>
        <w:t xml:space="preserve">(Section 4.5) - Voting-HHI exceeds post-exclusion holding HHI in thirteen of eighteen protocols with sufficient governance data (range 1.6x DRIFT to 25.6x Polkadot; mean approximately 6.8x, median 4.4x). Five protocols disperse voting power below the holding baseline (ENS at 0.45x; GMX at 0.87x; HNT at 0.35x to 0.53x; JUP at 0.057x, the most-extreme dispersion outlier in the cross-section; and LPT at 0.27x, the most pronounced DePIN governance disperser, with Livepeer holding concentration unchanged at the cross-section maximum). Curve veCRV, Balancer veBAL, and Frax veFXS form a separate vote-escrowed class with extreme amplification (15x, 21x, and 11.4x respectively).</w:t>
      </w:r>
    </w:p>
    <w:bookmarkEnd w:id="9"/>
    <w:bookmarkStart w:id="10" w:name="submission-package-contents"/>
    <w:p>
      <w:pPr>
        <w:pStyle w:val="Heading2"/>
      </w:pPr>
      <w:r>
        <w:t xml:space="preserve">Submission package contents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Revised manuscript (clean version)</w:t>
      </w:r>
      <w:r>
        <w:t xml:space="preserve"> </w:t>
      </w:r>
      <w:r>
        <w:t xml:space="preserve">- the full R2 manuscript incorporating all changes described in the response document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2026-05-26_R2_responses_master.md</w:t>
      </w:r>
      <w:r>
        <w:t xml:space="preserve"> </w:t>
      </w:r>
      <w:r>
        <w:t xml:space="preserve">- Point-by-point response to Reviewer 1’s R2 issues (markdown source for direct copy-paste into the Frontiers reviewer-response web form)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cover letter</w:t>
      </w:r>
      <w:r>
        <w:t xml:space="preserve"> </w:t>
      </w:r>
      <w:r>
        <w:t xml:space="preserve">(PDF and DOCX)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Supplementary files</w:t>
      </w:r>
      <w:r>
        <w:t xml:space="preserve">: S0 (statistics ledger); S1 (metric definitions); S2-S3 (codebook plus optional governance-scoring instruments retained as supplementary, not load-bearing for the empirical analysis); S4 (events table); S5 (empirical pipeline specification including per-iteration LOO data and per-protocol participation values); S6 (source provenance and revenue standardization); S7 (quarterly HHI panel for 14 governance tokens across 8 quarters); S8 (Token Terminal subsidy expansion analysis with sector-control multivariate models); S9 (Theil and Atkinson concentration-metric robustness check); S10 (PCA classification robustness across Specs A through E); S11 (Shapley-Shubik and Banzhaf power-index calculations); S12 (PCA-symmetric voting-HHI and signer-side functional PCA cases); S13 (Solana PCA exclusion audit including cross-protocol candidate-address verification); S14 (Shapley-Shubik and Banzhaf power-index full closure across the N=16 cross-source voting sample); S15 (voting-HHI coverage across the N=52 cross-section); S16a (Aethir, IoTeX, and ENS sensitivity analyses); S16b (additional protocols: FXS, SNX, GNO, TAO); S16c (Polkadot governance analysis); S17 (falsifiable predictions and pre-registration specification); S18 (EVM PCA classification with two-layer audit); S19 (Polkadot validator-set five-axis attribution methodology); S20 (Polkadot Subscan delegate-pool analysis); S21 (Class 3 versus Class 5 PCA disambiguation via transaction-pattern signatures); S22 (insider classification and staking-attribution audit); S23 (Q1-to-Q8 governance-HHI trajectory analysis on the 14-protocol panel); S24 (Optimism worked example); S25 (cross-protocol institutional concentration: voter-axis institutional-delegate audit plus holder-axis and validator-set CEX-overlap synthesis)</w:t>
      </w:r>
    </w:p>
    <w:p>
      <w:pPr>
        <w:pStyle w:val="FirstParagraph"/>
      </w:pPr>
      <w:r>
        <w:t xml:space="preserve">The address-by-address PCA exclusion log and the full regression dataset are available at the linked GitHub replication repository.</w:t>
      </w:r>
    </w:p>
    <w:bookmarkEnd w:id="10"/>
    <w:bookmarkStart w:id="11" w:name="methodology-disclosure"/>
    <w:p>
      <w:pPr>
        <w:pStyle w:val="Heading2"/>
      </w:pPr>
      <w:r>
        <w:t xml:space="preserve">Methodology disclosure</w:t>
      </w:r>
    </w:p>
    <w:p>
      <w:pPr>
        <w:pStyle w:val="FirstParagraph"/>
      </w:pPr>
      <w:r>
        <w:t xml:space="preserve">The revision reconciles all reported statistics against a single source-of-truth regression dataset to prevent recurrence of the manuscript-vs-data drift Reviewer 1 surfaced in the R1 review. A statistics ledger (Supplementary File S0) lists every body-text statistic with its sample size and the reporting convention; the ledger is the single source of truth that body, tables, figures, captions, abstract, and conclusion reconcile against, and all reported statistics are reconciled against it. Snapshot-date discipline is acknowledged: Table 7 voting-HHI values for the eight protocols sampled at the R1 scope use a March 2026 snapshot consistent with the rest of the dataset; the GMX and ENS additions use a May 2026 Tally snapshot (documented in Section 4.5 Table 7 footnote as a deliberate methodological exception for the added protocols). The May 2026 Tally and Snapshot replication confirms delegate-pool drift; rank ordering across protocols is the more durable inferential property than absolute magnitude.</w:t>
      </w:r>
    </w:p>
    <w:bookmarkEnd w:id="11"/>
    <w:bookmarkStart w:id="12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The author served as Senior Investment Analyst at Borderless Capital, a cryptocurrency-focused investment firm, through February 2026 and retains no decision-making role, carried interest, or position-dependent compensation with the firm. The author may hold small personal positions in some of the protocols analyzed; positions were established outside the research period and are not position-dependent on Borderless Capital. A complete disclosure is provided in the Conflict of Interest statement accompanying this submission. No co-authors or other conflicts of interest.</w:t>
      </w:r>
    </w:p>
    <w:bookmarkEnd w:id="12"/>
    <w:bookmarkStart w:id="13" w:name="acknowledgment"/>
    <w:p>
      <w:pPr>
        <w:pStyle w:val="Heading2"/>
      </w:pPr>
      <w:r>
        <w:t xml:space="preserve">Acknowledgment</w:t>
      </w:r>
    </w:p>
    <w:p>
      <w:pPr>
        <w:pStyle w:val="FirstParagraph"/>
      </w:pPr>
      <w:r>
        <w:t xml:space="preserve">We thank Reviewer 1 for the comprehensive cross-surface audit in R1 that surfaced the manuscript-vs-data drift class and motivated the reproduce-and-sync discipline adopted in this revision. Responding to that audit directly produced the substantive thesis evolution in the revised manuscript: the headline finding moved from</w:t>
      </w:r>
      <w:r>
        <w:t xml:space="preserve"> </w:t>
      </w:r>
      <w:r>
        <w:t xml:space="preserve">“delegation amplifies unevenly with two infrastructure protocols showing opposite patterns”</w:t>
      </w:r>
      <w:r>
        <w:t xml:space="preserve"> </w:t>
      </w:r>
      <w:r>
        <w:t xml:space="preserve">to</w:t>
      </w:r>
      <w:r>
        <w:t xml:space="preserve"> </w:t>
      </w:r>
      <w:r>
        <w:t xml:space="preserve">“predominant amplification across thirteen of eighteen protocols with five structural exceptions documenting design-tractable dispersion.”</w:t>
      </w:r>
      <w:r>
        <w:t xml:space="preserve"> </w:t>
      </w:r>
      <w:r>
        <w:t xml:space="preserve">The revised manuscript’s empirical contributions are stronger than the R1 manuscript’s because the reviewer’s audit framing was applied throughout the data, methodology, and architecture. We thank Reviewer 2 for the endorsement of publication.</w:t>
      </w:r>
    </w:p>
    <w:p>
      <w:pPr>
        <w:pStyle w:val="BodyText"/>
      </w:pPr>
      <w:r>
        <w:t xml:space="preserve">Sincerely,</w:t>
      </w:r>
      <w:r>
        <w:t xml:space="preserve"> </w:t>
      </w:r>
      <w:r>
        <w:t xml:space="preserve">Zach Zukowski</w:t>
      </w:r>
      <w:r>
        <w:t xml:space="preserve"> </w:t>
      </w:r>
      <w:r>
        <w:t xml:space="preserve">Tokenization Systems</w:t>
      </w:r>
      <w:r>
        <w:t xml:space="preserve"> </w:t>
      </w:r>
      <w:r>
        <w:t xml:space="preserve">zach@tokenization.systems</w:t>
      </w:r>
      <w:r>
        <w:t xml:space="preserve"> </w:t>
      </w:r>
      <w:r>
        <w:t xml:space="preserve">ORCID: 0009-0006-3642-2450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2026-05-31T05:53:24Z</dcterms:created>
  <dcterms:modified xsi:type="dcterms:W3CDTF">2026-05-31T05:53:24Z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