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exhibit much lower concentration in the post-</w:t>
        </w:r>
        <w:r>
          <w:t xml:space="preserve"> </w:t>
        </w:r>
        <w:r>
          <w:t xml:space="preserve">exclusion top-1,000 sample than in the raw holder list. Applying the</w:t>
        </w:r>
        <w:r>
          <w:t xml:space="preserve"> </w:t>
        </w:r>
        <w:r>
          <w:t xml:space="preserve">holder-list correction for Solana tokens (Helius DAS API enumeration</w:t>
        </w:r>
        <w:r>
          <w:t xml:space="preserve"> </w:t>
        </w:r>
        <w:r>
          <w:t xml:space="preserve">versus the systematically-undercounting Dune indexer) and the PCA</w:t>
        </w:r>
        <w:r>
          <w:t xml:space="preserve"> </w:t>
        </w:r>
        <w:r>
          <w:t xml:space="preserve">exclusion methodology (38 protocols with documented exclusions; Section</w:t>
        </w:r>
        <w:r>
          <w:t xml:space="preserve"> </w:t>
        </w:r>
        <w:r>
          <w:t xml:space="preserve">2.10.10), the DePIN-DeFi concentration gap is computed on a holder</w:t>
        </w:r>
        <w:r>
          <w:t xml:space="preserve"> </w:t>
        </w:r>
        <w:r>
          <w:t xml:space="preserve">sample materially different from the naive top-1,000 alternative. For</w:t>
        </w:r>
        <w:r>
          <w:t xml:space="preserve"> </w:t>
        </w:r>
        <w:r>
          <w:t xml:space="preserve">DRIFT, the raw holder distribution yields HHI 0.419 against the</w:t>
        </w:r>
        <w:r>
          <w:t xml:space="preserve"> </w:t>
        </w:r>
        <w:r>
          <w:t xml:space="preserve">post-exclusion value of 0.053 (Helius enumerates 27,888 distinct</w:t>
        </w:r>
        <w:r>
          <w:t xml:space="preserve"> </w:t>
        </w:r>
        <w:r>
          <w:t xml:space="preserve">holders versus 104 retrieved from the original Dune query). Wormhole</w:t>
        </w:r>
        <w:r>
          <w:t xml:space="preserve"> </w:t>
        </w:r>
        <w:r>
          <w:t xml:space="preserve">(W) moves from 0.126 (raw) to 0.012 (post-exclusion); GRASS moves</w:t>
        </w:r>
        <w:r>
          <w:t xml:space="preserve"> </w:t>
        </w:r>
        <w:r>
          <w:t xml:space="preserve">from 0.132 to 0.035.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post-exclusion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0.17,</w:t>
        </w:r>
        <w:r>
          <w:t xml:space="preserve"> </w:t>
        </w:r>
        <w:r>
          <w:t xml:space="preserve">p = 0.32,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post-exclusion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pre-exclusion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post-exclusion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both in the set of sector-test single-drop</w:t>
        </w:r>
        <w:r>
          <w:t xml:space="preserve"> </w:t>
        </w:r>
        <w:r>
          <w:t xml:space="preserve">protocols that push Mann-Whitney p toward 0.05 and as the sole protocol</w:t>
        </w:r>
        <w:r>
          <w:t xml:space="preserve"> </w:t>
        </w:r>
        <w:r>
          <w:t xml:space="preserve">that, when dropped, eliminates the subsidy correlation; however its</w:t>
        </w:r>
        <w:r>
          <w:t xml:space="preserve"> </w:t>
        </w:r>
        <w:r>
          <w:t xml:space="preserve">sector influence is shared equally among seven protocols, whereas its</w:t>
        </w:r>
        <w:r>
          <w:t xml:space="preserve"> </w:t>
        </w:r>
        <w:r>
          <w:t xml:space="preserve">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post-exclusion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(Aethir 0.209, Livepeer 0.199, IoTeX 0.189, WeatherXM 0.148)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post-exclusion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within the framework’s broader literature-review scope</w:t>
        </w:r>
        <w:r>
          <w:t xml:space="preserve"> </w:t>
        </w:r>
        <w:r>
          <w:t xml:space="preserve">(Section 2.7) but are not testable 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2026-05-19T08:19:47Z</dcterms:created>
  <dcterms:modified xsi:type="dcterms:W3CDTF">2026-05-19T08:19:47Z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