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0.51), and steady-state offset is lower still once temporary post-HIP-147 burn allocations and WiFi-offload pricing are normalized. However, roughly five purchasers account for 90% of those burns, a demand concentration that aggregate fiscal metrics cannot detect. This concentration is observable on-chain only for protocols whose customers pay directly: among the networks studied, the two such protocols are both highly concentrated (Helium burn-signer HHI 0.27; Livepeer fee-payer HHI 0.31), while buy-and-burn, single-relayer, and credit-intermediated architectures relocate the demand base off-chain where it cannot be measured.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demand-concentration diagnostic (the “Who Burns?” analysis) demonstrated on the two direct-payment protocols, a design playbook with a subtraction test for minimum viable mechanism complexity, and a health dashboard with demand-concentration guardrails for direct-payment protocols.</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As recently as 2022,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2 through 7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[62].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a monthly peak of 1.84 in February 2026, crossing monthly fiscal parity in October 2025 and posting net-deflationary monthly readings in four of the five months through February 2026.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predominantly net-deflationary (monthly S2R &gt; 1.0 in four of five months,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(monthly S2R 0.88 to 1.84, late 2025 to February 2026), when monthly burns exceeded issuance in four of the five months (November 2025 the lone exception at 0.88).</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0.51).</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r>
        <w:t xml:space="preserve">Because monthly readings are volatile, we also summed burns and issuance over trailing windows rather than averaging monthly ratios. On this window basis the recent deflationary run is sustained but bounded: the trailing-three-month ratio crossed 1.0 in December 2025 and reached 1.50 by February 2026, and the trailing-six-month ratio crossed 1.0 in January 2026 and reached 1.24 by February 2026. The trailing-twelve-month ratio, which still carries the deeply inflationary first half of 2025, remained net inflationary at roughly half of issuance (approximately 0.51) as of February 2026. The network has therefore entered a sustained run of net-deflationary months on a half-year basis, while cumulative issuance over a full year still exceeds cumulative burn.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Month</w:t>
            </w:r>
          </w:p>
        </w:tc>
        <w:tc>
          <w:tcPr>
            <w:tcW w:type="dxa" w:w="1728"/>
          </w:tcPr>
          <w:p>
            <w:r>
              <w:rPr>
                <w:b/>
                <w:sz w:val="18"/>
                <w:szCs w:val="18"/>
              </w:rPr>
              <w:t>Monthly S2R</w:t>
            </w:r>
          </w:p>
        </w:tc>
        <w:tc>
          <w:tcPr>
            <w:tcW w:type="dxa" w:w="1728"/>
          </w:tcPr>
          <w:p>
            <w:r>
              <w:rPr>
                <w:b/>
                <w:sz w:val="18"/>
                <w:szCs w:val="18"/>
              </w:rPr>
              <w:t>Trailing-3m</w:t>
            </w:r>
          </w:p>
        </w:tc>
        <w:tc>
          <w:tcPr>
            <w:tcW w:type="dxa" w:w="1728"/>
          </w:tcPr>
          <w:p>
            <w:r>
              <w:rPr>
                <w:b/>
                <w:sz w:val="18"/>
                <w:szCs w:val="18"/>
              </w:rPr>
              <w:t>Trailing-6m</w:t>
            </w:r>
          </w:p>
        </w:tc>
        <w:tc>
          <w:tcPr>
            <w:tcW w:type="dxa" w:w="1728"/>
          </w:tcPr>
          <w:p>
            <w:r>
              <w:rPr>
                <w:b/>
                <w:sz w:val="18"/>
                <w:szCs w:val="18"/>
              </w:rPr>
              <w:t>TTM (12m)</w:t>
            </w:r>
          </w:p>
        </w:tc>
        <w:trPr>
          <w:cantSplit/>
          <w:tblHeader/>
        </w:trPr>
      </w:tr>
      <w:tr>
        <w:trPr>
          <w:cantSplit/>
        </w:trPr>
        <w:tc>
          <w:tcPr>
            <w:tcW w:type="dxa" w:w="1728"/>
          </w:tcPr>
          <w:p>
            <w:r>
              <w:rPr>
                <w:sz w:val="18"/>
                <w:szCs w:val="18"/>
              </w:rPr>
              <w:t>Oct 2025</w:t>
            </w:r>
          </w:p>
        </w:tc>
        <w:tc>
          <w:tcPr>
            <w:tcW w:type="dxa" w:w="1728"/>
          </w:tcPr>
          <w:p>
            <w:r>
              <w:rPr>
                <w:sz w:val="18"/>
                <w:szCs w:val="18"/>
              </w:rPr>
              <w:t>1.57</w:t>
            </w:r>
          </w:p>
        </w:tc>
        <w:tc>
          <w:tcPr>
            <w:tcW w:type="dxa" w:w="1728"/>
          </w:tcPr>
          <w:p>
            <w:r>
              <w:rPr>
                <w:sz w:val="18"/>
                <w:szCs w:val="18"/>
              </w:rPr>
              <w:t>0.98</w:t>
            </w:r>
          </w:p>
        </w:tc>
        <w:tc>
          <w:tcPr>
            <w:tcW w:type="dxa" w:w="1728"/>
          </w:tcPr>
          <w:p>
            <w:r>
              <w:rPr>
                <w:sz w:val="18"/>
                <w:szCs w:val="18"/>
              </w:rPr>
              <w:t>0.41</w:t>
            </w:r>
          </w:p>
        </w:tc>
        <w:tc>
          <w:tcPr>
            <w:tcW w:type="dxa" w:w="1728"/>
          </w:tcPr>
          <w:p>
            <w:r>
              <w:rPr>
                <w:sz w:val="18"/>
                <w:szCs w:val="18"/>
              </w:rPr>
              <w:t>0.19</w:t>
            </w:r>
          </w:p>
        </w:tc>
      </w:tr>
      <w:tr>
        <w:trPr>
          <w:cantSplit/>
        </w:trPr>
        <w:tc>
          <w:tcPr>
            <w:tcW w:type="dxa" w:w="1728"/>
          </w:tcPr>
          <w:p>
            <w:r>
              <w:rPr>
                <w:sz w:val="18"/>
                <w:szCs w:val="18"/>
              </w:rPr>
              <w:t>Nov 2025</w:t>
            </w:r>
          </w:p>
        </w:tc>
        <w:tc>
          <w:tcPr>
            <w:tcW w:type="dxa" w:w="1728"/>
          </w:tcPr>
          <w:p>
            <w:r>
              <w:rPr>
                <w:sz w:val="18"/>
                <w:szCs w:val="18"/>
              </w:rPr>
              <w:t>0.88</w:t>
            </w:r>
          </w:p>
        </w:tc>
        <w:tc>
          <w:tcPr>
            <w:tcW w:type="dxa" w:w="1728"/>
          </w:tcPr>
          <w:p>
            <w:r>
              <w:rPr>
                <w:sz w:val="18"/>
                <w:szCs w:val="18"/>
              </w:rPr>
              <w:t>0.98</w:t>
            </w:r>
          </w:p>
        </w:tc>
        <w:tc>
          <w:tcPr>
            <w:tcW w:type="dxa" w:w="1728"/>
          </w:tcPr>
          <w:p>
            <w:r>
              <w:rPr>
                <w:sz w:val="18"/>
                <w:szCs w:val="18"/>
              </w:rPr>
              <w:t>0.56</w:t>
            </w:r>
          </w:p>
        </w:tc>
        <w:tc>
          <w:tcPr>
            <w:tcW w:type="dxa" w:w="1728"/>
          </w:tcPr>
          <w:p>
            <w:r>
              <w:rPr>
                <w:sz w:val="18"/>
                <w:szCs w:val="18"/>
              </w:rPr>
              <w:t>0.22</w:t>
            </w:r>
          </w:p>
        </w:tc>
      </w:tr>
      <w:tr>
        <w:trPr>
          <w:cantSplit/>
        </w:trPr>
        <w:tc>
          <w:tcPr>
            <w:tcW w:type="dxa" w:w="1728"/>
          </w:tcPr>
          <w:p>
            <w:r>
              <w:rPr>
                <w:sz w:val="18"/>
                <w:szCs w:val="18"/>
              </w:rPr>
              <w:t>Dec 2025</w:t>
            </w:r>
          </w:p>
        </w:tc>
        <w:tc>
          <w:tcPr>
            <w:tcW w:type="dxa" w:w="1728"/>
          </w:tcPr>
          <w:p>
            <w:r>
              <w:rPr>
                <w:sz w:val="18"/>
                <w:szCs w:val="18"/>
              </w:rPr>
              <w:t>1.55</w:t>
            </w:r>
          </w:p>
        </w:tc>
        <w:tc>
          <w:tcPr>
            <w:tcW w:type="dxa" w:w="1728"/>
          </w:tcPr>
          <w:p>
            <w:r>
              <w:rPr>
                <w:sz w:val="18"/>
                <w:szCs w:val="18"/>
              </w:rPr>
              <w:t>1.35</w:t>
            </w:r>
          </w:p>
        </w:tc>
        <w:tc>
          <w:tcPr>
            <w:tcW w:type="dxa" w:w="1728"/>
          </w:tcPr>
          <w:p>
            <w:r>
              <w:rPr>
                <w:sz w:val="18"/>
                <w:szCs w:val="18"/>
              </w:rPr>
              <w:t>0.78</w:t>
            </w:r>
          </w:p>
        </w:tc>
        <w:tc>
          <w:tcPr>
            <w:tcW w:type="dxa" w:w="1728"/>
          </w:tcPr>
          <w:p>
            <w:r>
              <w:rPr>
                <w:sz w:val="18"/>
                <w:szCs w:val="18"/>
              </w:rPr>
              <w:t>0.34</w:t>
            </w:r>
          </w:p>
        </w:tc>
      </w:tr>
      <w:tr>
        <w:trPr>
          <w:cantSplit/>
        </w:trPr>
        <w:tc>
          <w:tcPr>
            <w:tcW w:type="dxa" w:w="1728"/>
          </w:tcPr>
          <w:p>
            <w:r>
              <w:rPr>
                <w:sz w:val="18"/>
                <w:szCs w:val="18"/>
              </w:rPr>
              <w:t>Jan 2026</w:t>
            </w:r>
          </w:p>
        </w:tc>
        <w:tc>
          <w:tcPr>
            <w:tcW w:type="dxa" w:w="1728"/>
          </w:tcPr>
          <w:p>
            <w:r>
              <w:rPr>
                <w:sz w:val="18"/>
                <w:szCs w:val="18"/>
              </w:rPr>
              <w:t>1.10</w:t>
            </w:r>
          </w:p>
        </w:tc>
        <w:tc>
          <w:tcPr>
            <w:tcW w:type="dxa" w:w="1728"/>
          </w:tcPr>
          <w:p>
            <w:r>
              <w:rPr>
                <w:sz w:val="18"/>
                <w:szCs w:val="18"/>
              </w:rPr>
              <w:t>1.21</w:t>
            </w:r>
          </w:p>
        </w:tc>
        <w:tc>
          <w:tcPr>
            <w:tcW w:type="dxa" w:w="1728"/>
          </w:tcPr>
          <w:p>
            <w:r>
              <w:rPr>
                <w:sz w:val="18"/>
                <w:szCs w:val="18"/>
              </w:rPr>
              <w:t>1.09</w:t>
            </w:r>
          </w:p>
        </w:tc>
        <w:tc>
          <w:tcPr>
            <w:tcW w:type="dxa" w:w="1728"/>
          </w:tcPr>
          <w:p>
            <w:r>
              <w:rPr>
                <w:sz w:val="18"/>
                <w:szCs w:val="18"/>
              </w:rPr>
              <w:t>0.41</w:t>
            </w:r>
          </w:p>
        </w:tc>
      </w:tr>
      <w:tr>
        <w:trPr>
          <w:cantSplit/>
        </w:trPr>
        <w:tc>
          <w:tcPr>
            <w:tcW w:type="dxa" w:w="1728"/>
          </w:tcPr>
          <w:p>
            <w:r>
              <w:rPr>
                <w:sz w:val="18"/>
                <w:szCs w:val="18"/>
              </w:rPr>
              <w:t>Feb 2026</w:t>
            </w:r>
          </w:p>
        </w:tc>
        <w:tc>
          <w:tcPr>
            <w:tcW w:type="dxa" w:w="1728"/>
          </w:tcPr>
          <w:p>
            <w:r>
              <w:rPr>
                <w:sz w:val="18"/>
                <w:szCs w:val="18"/>
              </w:rPr>
              <w:t>1.84</w:t>
            </w:r>
          </w:p>
        </w:tc>
        <w:tc>
          <w:tcPr>
            <w:tcW w:type="dxa" w:w="1728"/>
          </w:tcPr>
          <w:p>
            <w:r>
              <w:rPr>
                <w:sz w:val="18"/>
                <w:szCs w:val="18"/>
              </w:rPr>
              <w:t>1.50</w:t>
            </w:r>
          </w:p>
        </w:tc>
        <w:tc>
          <w:tcPr>
            <w:tcW w:type="dxa" w:w="1728"/>
          </w:tcPr>
          <w:p>
            <w:r>
              <w:rPr>
                <w:sz w:val="18"/>
                <w:szCs w:val="18"/>
              </w:rPr>
              <w:t>1.24</w:t>
            </w:r>
          </w:p>
        </w:tc>
        <w:tc>
          <w:tcPr>
            <w:tcW w:type="dxa" w:w="1728"/>
          </w:tcPr>
          <w:p>
            <w:r>
              <w:rPr>
                <w:sz w:val="18"/>
                <w:szCs w:val="18"/>
              </w:rPr>
              <w:t>0.51</w:t>
            </w:r>
          </w:p>
        </w:tc>
      </w:tr>
    </w:tbl>
    <w:p>
      <w:r>
        <w:rPr>
          <w:b w:val="0"/>
          <w:i/>
        </w:rPr>
        <w:t>Table 3a. Helium trailing-window Subsidy-to-Revenue ratios, October 2025 to February 2026. Each window ratio is the sum of HNT burned divided by the sum of HNT issued over the trailing window (not a mean of monthly ratios), so it weights each month by its issuance. The monthly ratio crosses 1.0 from October 2025; the trailing-three-month ratio crosses 1.0 in December 2025 and the trailing-six-month ratio in January 2026, while the trailing-twelve-month ratio remains below 1.0 throughout.</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The same direct-payment logic identifies a second on-chain demand surface. Livepeer broadcasters pay transcoding fees in ETH directly to the protocol, and the addresses that fund those payments are observable on-chain in the same way Helium’s burn signers are. Fee-payer concentration is high: the top broadcaster funds 41% of paid fees, the top two 75%, and the top five 96%, for a fee-payer HHI of 0.31 across 28 paying broadcasters. Helium (direct-burn) and Livepeer (direct-fee) are the only two protocols in the sample whose customers pay the protocol directly on-chain, and in both the demand side is highly concentrated (HHI 0.27 and 0.31). For buy-and-burn (GEODNET) and single-relayer architectures (Hivemapper), payment is executed by a foundation or relayer, so on-chain signers are not customers and the demand base is off-chain. Demand concentration is therefore measurable precisely for the direct-payment protocols, and wherever it is measurable it is high. Livepeer is a compute-DeVIN rather than a GeoDePIN; we include it here because it is the only other protocol in the sample whose customers pay directly on-chain, making it the natural second test of the direct-payment measurability boundary.</w:t>
      </w:r>
    </w:p>
    <w:p>
      <w:r>
        <w:t xml:space="preserve">Industrial organization theory predicts that crypto-economic systems concentrate market power naturally from small cost and scale asymmetries [30]; applied to the demand side, this implies a protocol-oligopsony risk in which a small number of governance token holders that control emission rates and reward parameters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net-deflationary on a monthly basis.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the sinks-before-faucets principle (Principle 2.1: the burn mechanism was necessary but insufficient without demand) and the polycentric-governance design (Section 2.6.1: community-voted HIPs enabled the pivot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 xml:space="preserve">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 The burns originate from roughly one hundred distinct purchaser wallets (a mix of per-user app-provisioned smart accounts, self-custody wallets, and team multisigs) rather than from a foundation treasury, so DIMO is not a foundation buy-and-burn. The wallet-level distribution is dispersed (a Herfindahl-Hirschman Index near 0.06, top wallet about 16 percent), but because the on-chain burn is the conversion of DIMO into prepaid DIMO Credits, one step removed from the end customers who later consume data through the API, and because individual purchasers and resellers aggregate demand from many downstream users, this dispersion is not a reliable measure of end-customer demand concentration.</w:t>
        <w:br/>
        <w:t xml:space="preserve">After excluding the DIMO Foundation address (verified via Blockscout, holding approximately 55% of supply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(HONEY is burned to purchase service credits; operators earn newly minted HONEY for providing service). Map Credits are purchased with HONEY, and contributors earn HONEY for submitting verified imagery. MIP-7 introduced tiered pricing based on map freshness and coverage. On-chain data (February 2026) place Hivemapper’s Subsidy-to-Revenue ratio at approximately 0.183, indicating an active burn that offsets less than one-fifth of issuance and leaves the network subsidy-dependent. The burn architecture differs from Helium’s in a way that matters for demand measurement. Under Helium’s Data Credit model, end users burn tokens directly and per-purchaser demand concentration is observable on-chain; under Hivemapper’s model, Map-Credit burns are executed through a single credit-purchase relayer, and roughly 96% of all HONEY burned routes through one signer. On-chain burn signers are therefore not customers, and the demand base is off-chain and not measured here. The aggregate S2R magnitude is signer-independent and remains a valid growth-phase reading: it places Hivemapper in the growth-phase cohort, between subsidy-dependent protocols (S2R near zero) and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 xml:space="preserve">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team and investor unlock schedule is discussed below.</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The GeoDePIN governance Herfindahl-Hirschman indices reported in this paper (Table 4; pre-exclusion, ranging 0.034 to 0.593) are descriptive small-sample observations and are not the basis for the DePIN-versus-DeFi comparison; the authoritative comparison is the post-exclusion test in the companion cross-section [34], which finds DePIN tokens significantly more governance-concentrated than DeFi after removing protocol-controlled addresses (Mann-Whitney p = 0.028, Cohen’s d = 0.65, a medium effect). Governance concentration across DePIN and DeFi protocols is analyzed in that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Payment architecture determines whether demand concentration is observable. Helium’s direct-burn model, in which each Data Credit purchaser signs their own HNT burn, and Livepeer’s direct-fee model, in which each broadcaster pays transcoding fees in ETH directly, expose demand concentration on-chain and reveal it to be high in both cases (HHI 0.27 and 0.31; Section 5.1.2). Buy-and-burn and relayer-mediated models (GEODNET, Hivemapper) instead route payment through a foundation treasury or a single credit-purchase relayer, which relocates the demand base to off-chain subscriptions and leaves customer concentration unobservable on-chain. DIMO sits between these poles: its burns originate from roughly one hundred distinct purchaser wallets (a mix of per-user app-provisioned smart accounts, self-custody wallets, and team multisigs) rather than from a foundation treasury, but the token is burned when buyers convert it into prepaid DIMO Credits, one step removed from end-customer data consumption, and a single purchaser or reseller can front many downstream consumers, so the burn-wallet distribution does not reliably map to end-customer concentration.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protocols whose customers pay the protocol directly on-chain, by burning tokens or paying fees, the condition under which Top-5 direct-payer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 and fee-architecture observability and S2R. Direct-payer HHI is a valid demand-concentration measure only for protocols whose customers pay the protocol directly on-chain. Among the protocols studied, two meet this condition: Helium, whose Data Credit purchasers burn HNT directly (burn-signer HHI 0.27, S2R 1.84), and Livepeer, whose broadcasters pay transcoding fees directly (fee-payer HHI 0.31, S2R near zero). In both, demand is highly concentrated. Buy-and-burn (GEODNET) and single-relayer (Hivemapper) architectures route payment through a foundation treasury or a single relayer, so their demand base is off-chain. DIMO is also shown off-axis, but for a different reason: its burns come from many distinct purchaser wallets, yet each burn is a prepaid-credit (DCX) purchase one step removed from end-customer consumption, so the burn-wallet distribution is not a reliable end-customer demand measure. All three are shown in the shaded off-axis lane at left rather than at a measured concentration. Livepeer sits at high demand concentration but near-zero S2R, illustrating that the two axes are independent.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the Top-5 direct-payer share (burns or fees)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customers pay the protocol directly on-chain. Two protocols in the sample meet this condition: Helium (direct burns, burn-signer HHI 0.27, with roughly five purchasers accounting for about 90% of burns) and Livepeer (direct fee payments, fee-payer HHI 0.31, with the top two broadcasters accounting for 75% of fees). In both, demand is highly concentrated. Buy-and-burn (GEODNET) and single-relayer (Hivemapper) architectures route payment through a foundation treasury or a single relayer rather than customers, relocating demand to off-chain fiat subscriptions; for these architectures on-chain signers are not customers, and the underlying demand distribution is not observable on-chain. DIMO differs in form but reaches the same measurement limit: its burns come from roughly one hundred distinct purchaser wallets, but each burn converts DIMO into prepaid credits one step removed from end-customer consumption, and individual purchasers and resellers aggregate demand from many downstream users, so the burn-wallet distribution is not a reliable measure of end-customer concentration either. The diagnostic’s applicability boundary is itself a finding: demand concentration is measurable on-chain precisely for the direct-payment protocols, and wherever it is measurable it is high, while aggregate fiscal metrics and on-chain data both fail to reveal the customer base of buy-and-burn, single-relayer, and credit-intermediated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GEODNET’s foundation buy-and-burn the analogous demand base is off-chain (fiat subscriptions) and is not measurable from burn-signer data. For DIMO the burns come from many distinct purchaser wallets but represent prepaid-credit purchases one step removed from end-customer consumption, so the burn-wallet distribution likewise does not yield a comparable end-customer concentration figure. In neither case can this on-chain method answer whether revenue diversification reduces buyer leverage as Resource Dependence Theory predicts.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direct-payment protocols (Helium and Livepeer)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 fee-payer concentration on-chain (Arbitrum)</w:t>
            </w:r>
          </w:p>
        </w:tc>
        <w:tc>
          <w:tcPr>
            <w:tcW w:type="dxa" w:w="727"/>
          </w:tcPr>
          <w:p>
            <w:r>
              <w:rPr>
                <w:sz w:val="16"/>
                <w:szCs w:val="16"/>
              </w:rPr>
              <w:t xml:space="preserve">0.31 (fee-payer)</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Credit (DCX)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 burns from ~100 distinct purchaser wallets, but credit-purchase intermediation removes end-customer demand from on-chain view</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direct-payment data is available. For Livepeer, which routes fees in ETH rather than burning, demand concentration is measured on the fee-payer side (HHI 0.31) using the same direct-payer logic as Helium’s burn-signer HHI. A long dash in the Demand HHI column marks protocols for which a valid on-chain demand-concentration measure is not available, either because per-address payment data is not queryable, because the protocol executes payment through a foundation treasury or a single relayer (buy-and-burn and single-relayer architectures) so on-chain signers are not customers, or because on-chain burns are prepaid-credit purchases one step removed from end-customer consumption (DIMO) so the burn-wallet distribution does not map to end-customer concentration.</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0.51);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This demand concentration is observable on-chain only for direct-payment protocols; both such protocols in the sample, Helium (burn-signer HHI 0.27) and Livepeer (fee-payer HHI 0.31), are highly concentrated, while buy-and-burn, single-relayer, and credit-intermediated architectures relocate demand off-chain. Governance concentration is high across the GeoDePIN cross-section (pre-exclusion HHI 0.034 to 0.593);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with a measurability finding: demand concentration is observable on-chain only for direct-payment protocols, and in both such protocols in the sample (Helium burn-signer HHI 0.27, Livepeer fee-payer HHI 0.31) it is high, while buy-and-burn, single-relayer, and credit-intermediated architectures relocate it off-chain;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0.51), and the peak reflects temporary post-HIP-147 burn allocations that overstate steady-state offset by an estimated 2-5x; DIMO’s S2R 4.24 is a single elevated-purchase month rather than a sustained equilibrium; and on-chain demand concentration is a valid measure only for direct-payment protocols, where customers pay the protocol directly (Helium by burning HNT, Livepeer by paying ETH transcoding fees), so for GEODNET’s foundation buy-and-burn and Hivemapper’s single-relayer burns the demand base is off-chain, and for DIMO the on-chain burns are prepaid-credit purchases that do not map to end-customer concentration; none of the three yields a reliable on-chain demand measure here. The direct-payment measurement rests on two protocols, so the finding that demand is high wherever observable is conditional on a small observed set; it is a measurability result about on-chain visibility, not a claim that all GeoDePIN demand is concentrated.</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[63] offers a complementary methodology for stress-testing the health dashboard thresholds proposed here, particularly for modeling how concentrated buyers respond to emission halvings.</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customers pay the protocol directly on-chain, by burning tokens or paying fees.</w:t>
      </w:r>
    </w:p>
    <w:p>
      <w:r>
        <w:t xml:space="preserve">Resource Dependence Theory’s causal predictions generate a forward hypothesis for the protocols whose demand concentration is directly observable on-chain, the direct-payment protocols: because Helium’s Data Credit purchasers burn HNT directly, its measured burn-signer HHI (0.27, top-2 addresses at 70.1% of burns) reflects real buyer concentration, and because Livepeer’s broadcasters pay fees directly, its fee-payer HHI (0.31, top-2 at 75%) admits the same test;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r>
        <w:t xml:space="preserve">[62] G. Wuollet, "Why DePIN matters, and how to make it work," a16z crypto, Mar. 25, 2025. [Online]. Available: https://a16zcrypto.com/posts/listicles/why-depin-matters/</w:t>
      </w:r>
    </w:p>
    <w:p>
      <w:r>
        <w:t xml:space="preserve">[63] Y. Liu and M. Schweitzer, "EconAgentic in DePIN markets: A large language model approach to the sharing economy of decentralized physical infrastructure," arXiv:2508.21368, Aug. 2025. [Online]. Available: https://arxiv.org/abs/2508.21368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