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1.03), and the effect is robust under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2; in Model 3 with the full</w:t>
      </w:r>
      <w:r>
        <w:t xml:space="preserve"> </w:t>
      </w:r>
      <w:r>
        <w:t xml:space="preserve">control set the coefficient is positive and similar in magnitude but</w:t>
      </w:r>
      <w:r>
        <w:t xml:space="preserve"> </w:t>
      </w:r>
      <w:r>
        <w:t xml:space="preserve">falls just above the conventional threshold at p = 0.060; adjusted R²</w:t>
      </w:r>
      <w:r>
        <w:t xml:space="preserve"> </w:t>
      </w:r>
      <w:r>
        <w:t xml:space="preserve">0.15 to 0.19;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1.2x to 11.4x),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0.013 to 0.209: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(0.209) reported here reflects the R2 recomputation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May 2026 Dune top-1000 pull (holders_ATH_2026-05-17.csv); the</w:t>
      </w:r>
      <w:r>
        <w:rPr>
          <w:i/>
          <w:iCs/>
        </w:rPr>
        <w:t xml:space="preserve"> </w:t>
      </w:r>
      <w:r>
        <w:rPr>
          <w:i/>
          <w:iCs/>
        </w:rPr>
        <w:t xml:space="preserve">R1 footnote value of 0.168 was based on the March 2026 cascade</w:t>
      </w:r>
      <w:r>
        <w:rPr>
          <w:i/>
          <w:iCs/>
        </w:rPr>
        <w:t xml:space="preserve"> </w:t>
      </w:r>
      <w:r>
        <w:rPr>
          <w:i/>
          <w:iCs/>
        </w:rPr>
        <w:t xml:space="preserve">snapshot. The R2 value (0.209) supersedes earlier interim estimates</w:t>
      </w:r>
      <w:r>
        <w:rPr>
          <w:i/>
          <w:iCs/>
        </w:rPr>
        <w:t xml:space="preserve"> </w:t>
      </w:r>
      <w:r>
        <w:rPr>
          <w:i/>
          <w:iCs/>
        </w:rPr>
        <w:t xml:space="preserve">(including 0.153 cited in earlier R2 drafts) per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two-sided permutation test (100,000 random reassignments of sector</w:t>
      </w:r>
      <w:r>
        <w:t xml:space="preserve"> </w:t>
      </w:r>
      <w:r>
        <w:t xml:space="preserve">labels) yields p = 0.008.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 voting/holding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voting/holding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0.027 to 0.016; Cohen’s d = 1.02 to 1.10;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2026-05-19T07:04:52Z</dcterms:created>
  <dcterms:modified xsi:type="dcterms:W3CDTF">2026-05-19T07:04:52Z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