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is robust under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2; in Model 3 with the full</w:t>
        </w:r>
        <w:r>
          <w:t xml:space="preserve"> </w:t>
        </w:r>
        <w:r>
          <w:t xml:space="preserve">control set the coefficient is positive and similar in magnitude but</w:t>
        </w:r>
        <w:r>
          <w:t xml:space="preserve"> </w:t>
        </w:r>
        <w:r>
          <w:t xml:space="preserve">falls just above the conventional threshold at p = 0.060; adjusted R²</w:t>
        </w:r>
        <w:r>
          <w:t xml:space="preserve"> </w:t>
        </w:r>
        <w:r>
          <w:t xml:space="preserve">0.15 to 0.19;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Three protocols with near-identical subsidy ratios exhibit governance</w:t>
        </w:r>
        <w:r>
          <w:t xml:space="preserve"> </w:t>
        </w:r>
        <w:r>
          <w:t xml:space="preserve">HHI spanning 0.013 to 0.209: financial sustainability is neither</w:t>
        </w:r>
        <w:r>
          <w:t xml:space="preserve"> </w:t>
        </w:r>
        <w:r>
          <w:t xml:space="preserve">necessary nor sufficient for governance decentralization (Section 3.4).</w:t>
        </w:r>
        <w:r>
          <w:t xml:space="preserve"> </w:t>
        </w:r>
        <w:r>
          <w:t xml:space="preserve">Governance concentration is a secondary market outcome, shaped by</w:t>
        </w:r>
        <w:r>
          <w:t xml:space="preserve"> </w:t>
        </w:r>
        <w:r>
          <w:t xml:space="preserve">post-distribution trading and accumulation dynamics that neither</w:t>
        </w:r>
        <w:r>
          <w:t xml:space="preserve"> </w:t>
        </w:r>
        <w:r>
          <w:t xml:space="preserve">allocation design nor protocol financial characteristics predict.</w:t>
        </w:r>
      </w:ins>
    </w:p>
    <w:p>
      <w:ins w:id="10017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8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19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The two protocols previously cited as</w:t>
        </w:r>
        <w:r>
          <w:t xml:space="preserve"> </w:t>
        </w:r>
        <w:r>
          <w:t xml:space="preserve">showing dispersion (Uniswap, Optimism) do so only when holding HHI is</w:t>
        </w:r>
        <w:r>
          <w:t xml:space="preserve"> </w:t>
        </w:r>
        <w:r>
          <w:t xml:space="preserve">measured without excluding addresses that cannot vote, such as burn</w:t>
        </w:r>
        <w:r>
          <w:t xml:space="preserve"> </w:t>
        </w:r>
        <w:r>
          <w:t xml:space="preserve">wallets and foundation treasuries; once those exclusions are applied</w:t>
        </w:r>
        <w:r>
          <w:t xml:space="preserve"> </w:t>
        </w:r>
        <w:r>
          <w:t xml:space="preserve">consistently with Table 4, both protocols join the amplification</w:t>
        </w:r>
        <w:r>
          <w:t xml:space="preserve"> </w:t>
        </w:r>
        <w:r>
          <w:t xml:space="preserve">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0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1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2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3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4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5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6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7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8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29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5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6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7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8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39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0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1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2" w:author="R2 Revision" w:date="2026-05-19T00:00:00Z">
        <w:pPr>
          <w:pStyle w:val="Heading3"/>
        </w:pPr>
        <w:r>
          <w:t xml:space="preserve">1.4.1 Scope</w:t>
        </w:r>
      </w:ins>
    </w:p>
    <w:p>
      <w:ins w:id="10043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4" w:author="R2 Revision" w:date="2026-05-19T00:00:00Z">
        <w:pPr>
          <w:pStyle w:val="Heading3"/>
        </w:pPr>
        <w:r>
          <w:t xml:space="preserve">1.4.2 Assumptions</w:t>
        </w:r>
      </w:ins>
    </w:p>
    <w:p>
      <w:ins w:id="10045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6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limitations"/>
    <w:p>
      <w:ins w:id="10048" w:author="R2 Revision" w:date="2026-05-19T00:00:00Z">
        <w:pPr>
          <w:pStyle w:val="Heading3"/>
        </w:pPr>
        <w:r>
          <w:t xml:space="preserve">1.4.3 Limitations</w:t>
        </w:r>
      </w:ins>
    </w:p>
    <w:p>
      <w:ins w:id="10049" w:author="R2 Revision" w:date="2026-05-19T00:00:00Z">
        <w:pPr>
          <w:pStyle w:val="FirstParagraph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risks.</w:t>
        </w:r>
      </w:ins>
    </w:p>
    <w:p>
      <w:ins w:id="10050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mechanisms.</w:t>
        </w:r>
      </w:ins>
    </w:p>
    <w:p>
      <w:ins w:id="10051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ins w:id="10052" w:author="R2 Revision" w:date="2026-05-19T00:00:00Z">
        <w:pPr>
          <w:pStyle w:val="Heading2"/>
        </w:pPr>
        <w:r>
          <w:t xml:space="preserve">1.5 Paper Outline</w:t>
        </w:r>
      </w:ins>
    </w:p>
    <w:p>
      <w:ins w:id="10053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4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5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6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7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58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59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0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1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2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3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4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5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6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7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68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69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0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1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2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3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4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5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6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7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78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79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0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1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2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3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4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5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6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7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88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89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0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1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2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3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4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5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6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7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098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099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0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1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2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3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4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5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6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7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08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09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0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1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2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3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5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6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7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18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19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0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1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2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3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4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6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7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28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29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0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1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3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5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7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39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0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1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3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5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6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7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48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7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0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2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3" w:author="R2 Revision" w:date="2026-05-19T00:00:00Z">
        <w:pPr>
          <w:pStyle w:val="Heading3"/>
        </w:pPr>
        <w:r>
          <w:t xml:space="preserve">2.10.1 Approach</w:t>
        </w:r>
      </w:ins>
    </w:p>
    <w:p>
      <w:ins w:id="10184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5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6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7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88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89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0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1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3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4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5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6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7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198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199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0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Subsequent Tally and Snapshot</w:t>
        </w:r>
        <w:r>
          <w:t xml:space="preserve"> </w:t>
        </w:r>
        <w:r>
          <w:t xml:space="preserve">API queries during the R2 revision cycle (May 2026) confirmed that</w:t>
        </w:r>
        <w:r>
          <w:t xml:space="preserve"> </w:t>
        </w:r>
        <w:r>
          <w:t xml:space="preserve">voting-power distributions can drift materially over multi-month</w:t>
        </w:r>
        <w:r>
          <w:t xml:space="preserve"> </w:t>
        </w:r>
        <w:r>
          <w:t xml:space="preserve">windows: a fresh Compound Tally pull in May 2026 returned roughly 120</w:t>
        </w:r>
        <w:r>
          <w:t xml:space="preserve"> </w:t>
        </w:r>
        <w:r>
          <w:t xml:space="preserve">delegates with non-zero voting power, compared with the 100-delegate</w:t>
        </w:r>
        <w:r>
          <w:t xml:space="preserve"> </w:t>
        </w:r>
        <w:r>
          <w:t xml:space="preserve">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1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2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3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4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5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6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7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0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0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1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2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3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4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5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6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7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58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59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0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1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2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7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68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69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5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22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ins w:id="10276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7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78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7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2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3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4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5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6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86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 (ATH)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appear as full Table 4 rows above following supplementary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holder-list collection in the R2 cycle: Hivemapper and io.net via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Helius DAS API (90,680 HONEY holders; 84,861 IO holders); Aethir via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Dune erc20_ethereum.evt_transfer net-balance aggregation (1,000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 pulled). All three were footnote-only in the R1 submission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because the original Dune holder-list extraction did not include them.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The Aethir HHI (0.209) reported here reflects the R2 recomputation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the May 2026 Dune top-1000 pull (holders_ATH_2026-05-17.csv);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R1 footnote value of 0.168 was based on the March 2026 cascade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snapshot. The R2 value (0.209) supersedes earlier interim estimates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(including 0.153 cited in earlier R2 drafts) per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6" w:author="R2 Revision" w:date="2026-05-19T00:00:00Z">
        <w:pPr>
          <w:pStyle w:val="BodyText"/>
        </w:pPr>
        <w:r>
          <w:t xml:space="preserve">Table 4 notes:</w:t>
        </w:r>
      </w:ins>
    </w:p>
    <w:p>
      <w:ins w:id="10627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28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29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0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1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2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3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4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5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6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iterations, and a</w:t>
        </w:r>
        <w:r>
          <w:t xml:space="preserve"> </w:t>
        </w:r>
        <w:r>
          <w:t xml:space="preserve">two-sided permutation test (100,000 random reassignments of sector</w:t>
        </w:r>
        <w:r>
          <w:t xml:space="preserve"> </w:t>
        </w:r>
        <w:r>
          <w:t xml:space="preserve">labels) yields p = 0.008.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7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3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39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0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1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2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3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4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5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3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4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5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6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48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49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0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1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2" w:author="R2 Revision" w:date="2026-05-19T00:00:00Z">
              <w:pPr>
                <w:pStyle w:val="Compact"/>
              </w:pPr>
            </w:ins>
          </w:p>
        </w:tc>
        <w:tc>
          <w:tcPr/>
          <w:p>
            <w:ins w:id="107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6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59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0" w:author="R2 Revision" w:date="2026-05-19T00:00:00Z">
              <w:pPr>
                <w:pStyle w:val="Compact"/>
              </w:pP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4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68" w:author="R2 Revision" w:date="2026-05-19T00:00:00Z">
              <w:pPr>
                <w:pStyle w:val="Compact"/>
              </w:pP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2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6" w:author="R2 Revision" w:date="2026-05-19T00:00:00Z">
              <w:pPr>
                <w:pStyle w:val="Compact"/>
              </w:pP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0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</w:pP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88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89" w:author="R2 Revision" w:date="2026-05-19T00:00:00Z">
              <w:pPr>
                <w:pStyle w:val="Compact"/>
              </w:pP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6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797" w:author="R2 Revision" w:date="2026-05-19T00:00:00Z">
              <w:pPr>
                <w:pStyle w:val="Compact"/>
              </w:pP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4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5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07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08" w:author="R2 Revision" w:date="2026-05-19T00:00:00Z">
              <w:pPr>
                <w:pStyle w:val="Compact"/>
              </w:pP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1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2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6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1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2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 in the Tier B1 expansion,</w:t>
        </w:r>
        <w:r>
          <w:t xml:space="preserve"> </w:t>
        </w:r>
        <w:r>
          <w:t xml:space="preserve">yielding 10 protocols with sufficient governance activity in the 12</w:t>
        </w:r>
        <w:r>
          <w:t xml:space="preserve"> </w:t>
        </w:r>
        <w:r>
          <w:t xml:space="preserve">months preceding the snapshot.</w:t>
        </w:r>
      </w:ins>
    </w:p>
    <w:p>
      <w:ins w:id="10823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4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6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 voting/holding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voting/holding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27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28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29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0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1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89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899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0" w:author="R2 Revision" w:date="2026-05-19T00:00:00Z">
        <w:pPr>
          <w:pStyle w:val="BodyText"/>
        </w:pPr>
        <w:r>
          <w:t xml:space="preserve">‡ GMX and ENS added in R2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original eight protocols) and May 2026 (used for GMX and ENS) is</w:t>
        </w:r>
        <w:r>
          <w:t xml:space="preserve"> </w:t>
        </w:r>
        <w:r>
          <w:t xml:space="preserve">documented in Section 2.10.3; rank-ordering across protocols is the</w:t>
        </w:r>
        <w:r>
          <w:t xml:space="preserve"> </w:t>
        </w:r>
        <w:r>
          <w:t xml:space="preserve">durable inferential property, with absolute magnitudes subject to</w:t>
        </w:r>
        <w:r>
          <w:t xml:space="preserve"> </w:t>
        </w:r>
        <w:r>
          <w:t xml:space="preserve">delegate-pool changes over multi-month windows.</w:t>
        </w:r>
      </w:ins>
    </w:p>
    <w:bookmarkStart w:id="95" w:name="X5aa57646c4396d747e0131ec008a4e3f93d4422"/>
    <w:p>
      <w:ins w:id="10901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2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3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4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5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Phase 0 Tier C1 analysis (Section 4.1; supplementary file</w:t>
        </w:r>
        <w:r>
          <w:t xml:space="preserve"> </w:t>
        </w:r>
        <w:r>
          <w:t xml:space="preserve">veCRV_voting_concentration_2026-05-17.csv).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6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07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08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09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pull (per Phase 0 Tier C1 fact-check).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0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1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2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3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ins w:id="10914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5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6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 after the F1 holder-list correction). The subsidy correlation</w:t>
        </w:r>
        <w:r>
          <w:t xml:space="preserve"> </w:t>
        </w:r>
        <w:r>
          <w:t xml:space="preserve">is entirely driven by Livepeer. Details follow.</w:t>
        </w:r>
      </w:ins>
    </w:p>
    <w:p>
      <w:ins w:id="10917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 after the F1 holder-list correction)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18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iterations. Seven protocols, when</w:t>
        </w:r>
        <w:r>
          <w:t xml:space="preserve"> </w:t>
        </w:r>
        <w:r>
          <w:t xml:space="preserve">individually dropped, push the p-value to 0.052: Hyperliquid, Aethir,</w:t>
        </w:r>
        <w:r>
          <w:t xml:space="preserve"> </w:t>
        </w:r>
        <w:r>
          <w:t xml:space="preserve">Lido, POKT Network, GEODNET, Livepeer, and WeatherXM. No single protocol</w:t>
        </w:r>
        <w:r>
          <w:t xml:space="preserve"> </w:t>
        </w:r>
        <w:r>
          <w:t xml:space="preserve">uniquely drives the result; rather, the test sits near the 5% threshold</w:t>
        </w:r>
        <w:r>
          <w:t xml:space="preserve"> </w:t>
        </w:r>
        <w:r>
          <w:t xml:space="preserve">and is sensitive to the exact composition of both sector subsamples. A</w:t>
        </w:r>
        <w:r>
          <w:t xml:space="preserve"> </w:t>
        </w:r>
        <w:r>
          <w:t xml:space="preserve">permutation test (10,000 random reassignments of sector labels) yields p</w:t>
        </w:r>
        <w:r>
          <w:t xml:space="preserve"> </w:t>
        </w:r>
        <w:r>
          <w:t xml:space="preserve">= 0.009, consistent with the direction not being an artifact of the</w:t>
        </w:r>
        <w:r>
          <w:t xml:space="preserve"> </w:t>
        </w:r>
        <w:r>
          <w:t xml:space="preserve">asymptotic approximation. We characterize this finding as suggestive</w:t>
        </w:r>
        <w:r>
          <w:t xml:space="preserve"> </w:t>
        </w:r>
        <w:r>
          <w:t xml:space="preserve">rather than robust.</w:t>
        </w:r>
      </w:ins>
    </w:p>
    <w:p>
      <w:ins w:id="10919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0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2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3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R1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4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 and the F1 cycle refinements).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5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6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27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28" w:author="R2 Revision" w:date="2026-05-19T00:00:00Z">
        <w:pPr>
          <w:pStyle w:val="BodyText"/>
        </w:pPr>
        <w:r>
          <w:t xml:space="preserve">Top-N holder-list cutoff sensitivity. The R1 F1 cycle surfaced a</w:t>
        </w:r>
        <w:r>
          <w:t xml:space="preserve"> </w:t>
        </w:r>
        <w:r>
          <w:t xml:space="preserve">methodological lesson with broad applicability: holder-list extraction</w:t>
        </w:r>
        <w:r>
          <w:t xml:space="preserve"> </w:t>
        </w:r>
        <w:r>
          <w:t xml:space="preserve">cutoffs materially affect the measured concentration for sparse-holder</w:t>
        </w:r>
        <w:r>
          <w:t xml:space="preserve"> </w:t>
        </w:r>
        <w:r>
          <w:t xml:space="preserve">protocols. For three protocols (MOR, AXL, ZRO), Dune holder-list</w:t>
        </w:r>
        <w:r>
          <w:t xml:space="preserve"> </w:t>
        </w:r>
        <w:r>
          <w:t xml:space="preserve">queries had been inadvertently capped at top-100 rather than top-1000;</w:t>
        </w:r>
        <w:r>
          <w:t xml:space="preserve"> </w:t>
        </w:r>
        <w:r>
          <w:t xml:space="preserve">re-pulling at the top-1000 cutoff after applying PCA exclusion methodology</w:t>
        </w:r>
        <w:r>
          <w:t xml:space="preserve"> </w:t>
        </w:r>
        <w:r>
          <w:t xml:space="preserve">yielded substantively different HHI values: MOR 0.013 to 0.031 (post-F1);</w:t>
        </w:r>
        <w:r>
          <w:t xml:space="preserve"> </w:t>
        </w:r>
        <w:r>
          <w:t xml:space="preserve">AXL 0.004 to 0.028 (post-F1); ZRO 0.010 to 0.015 (post-F1). The</w:t>
        </w:r>
        <w:r>
          <w:t xml:space="preserve"> </w:t>
        </w:r>
        <w:r>
          <w:t xml:space="preserve">correction affected the cross-sector test statistics (DePIN-vs-DeFi</w:t>
        </w:r>
        <w:r>
          <w:t xml:space="preserve"> </w:t>
        </w:r>
        <w:r>
          <w:t xml:space="preserve">Mann-Whitney p = 0.027 to 0.016; Cohen’s d = 1.02 to 1.10; leave-one-out</w:t>
        </w:r>
        <w:r>
          <w:t xml:space="preserve"> </w:t>
        </w:r>
        <w:r>
          <w:t xml:space="preserve">sensitivity 23-of-30 to 30-of-30).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2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ins w:id="10932" w:author="R2 Revision" w:date="2026-05-19T00:00:00Z">
        <w:pPr>
          <w:pStyle w:val="Heading1"/>
        </w:pPr>
        <w:r>
          <w:t xml:space="preserve">4 Discussion</w:t>
        </w:r>
      </w:ins>
    </w:p>
    <w:bookmarkStart w:id="109" w:name="design-hypotheses"/>
    <w:p>
      <w:ins w:id="10933" w:author="R2 Revision" w:date="2026-05-19T00:00:00Z">
        <w:pPr>
          <w:pStyle w:val="Heading2"/>
        </w:pPr>
        <w:r>
          <w:t xml:space="preserve">4.1 Design Hypotheses</w:t>
        </w:r>
      </w:ins>
    </w:p>
    <w:p>
      <w:ins w:id="10934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35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36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38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0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1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2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3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44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45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09"/>
    <w:bookmarkStart w:id="110" w:name="governance-design-implications"/>
    <w:p>
      <w:ins w:id="10946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47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48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49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1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2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3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54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ins w:id="10955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56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57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1"/>
    <w:bookmarkStart w:id="112" w:name="risks-and-counterpoints"/>
    <w:p>
      <w:ins w:id="10958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59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1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3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64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65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ins w:id="10967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68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69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0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1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3"/>
    <w:bookmarkStart w:id="114" w:name="summary-of-findings"/>
    <w:p>
      <w:ins w:id="10976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77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78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79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4"/>
    <w:bookmarkStart w:id="115" w:name="contributions"/>
    <w:p>
      <w:ins w:id="10980" w:author="R2 Revision" w:date="2026-05-19T00:00:00Z">
        <w:pPr>
          <w:pStyle w:val="Heading2"/>
        </w:pPr>
        <w:r>
          <w:t xml:space="preserve">4.7 Contributions</w:t>
        </w:r>
      </w:ins>
    </w:p>
    <w:p>
      <w:ins w:id="10981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2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3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88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5"/>
    <w:bookmarkStart w:id="116" w:name="limitations-1"/>
    <w:p>
      <w:ins w:id="10989" w:author="R2 Revision" w:date="2026-05-19T00:00:00Z">
        <w:pPr>
          <w:pStyle w:val="Heading2"/>
        </w:pPr>
        <w:r>
          <w:t xml:space="preserve">4.8 Limitations</w:t>
        </w:r>
      </w:ins>
    </w:p>
    <w:p>
      <w:ins w:id="10990" w:author="R2 Revision" w:date="2026-05-19T00:00:00Z">
        <w:pPr>
          <w:pStyle w:val="FirstParagraph"/>
        </w:pPr>
        <w:r>
          <w:t xml:space="preserve">The evidence carries several limitations. The governance concentration</w:t>
        </w:r>
        <w:r>
          <w:t xml:space="preserve"> </w:t>
        </w:r>
        <w:r>
          <w:t xml:space="preserve">analysis is a March 2026 snapshot: tracking concentration over time</w:t>
        </w:r>
        <w:r>
          <w:t xml:space="preserve"> </w:t>
        </w:r>
        <w:r>
          <w:t xml:space="preserve">would reveal whether protocols are becoming more or less concentrated</w:t>
        </w:r>
        <w:r>
          <w:t xml:space="preserve"> </w:t>
        </w:r>
        <w:r>
          <w:t xml:space="preserve">and strengthen causal claims. A single scorer has applied the scoring</w:t>
        </w:r>
        <w:r>
          <w:t xml:space="preserve"> </w:t>
        </w:r>
        <w:r>
          <w:t xml:space="preserve">rubric; inter-rater reliability testing with independent scorers is</w:t>
        </w:r>
        <w:r>
          <w:t xml:space="preserve"> </w:t>
        </w:r>
        <w:r>
          <w:t xml:space="preserve">needed before the rubric can claim measurement validity beyond its</w:t>
        </w:r>
        <w:r>
          <w:t xml:space="preserve"> </w:t>
        </w:r>
        <w:r>
          <w:t xml:space="preserve">current proof-of-concept status.</w:t>
        </w:r>
      </w:ins>
    </w:p>
    <w:p>
      <w:ins w:id="10991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2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0993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0994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0995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0996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bookmarkEnd w:id="116"/>
    <w:bookmarkStart w:id="118" w:name="future-research"/>
    <w:p>
      <w:ins w:id="10997" w:author="R2 Revision" w:date="2026-05-19T00:00:00Z">
        <w:pPr>
          <w:pStyle w:val="Heading2"/>
        </w:pPr>
        <w:r>
          <w:t xml:space="preserve">4.9 Future Research</w:t>
        </w:r>
      </w:ins>
    </w:p>
    <w:p>
      <w:ins w:id="10998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17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0999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0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1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02" w:author="R2 Revision" w:date="2026-05-19T00:00:00Z">
        <w:pPr>
          <w:pStyle w:val="BodyText"/>
        </w:pPr>
        <w:r>
          <w:t xml:space="preserve">Falsifiable forward claims. The cross-sectional design supports two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 that future panel-data analysis can test. First, if</w:t>
        </w:r>
        <w:r>
          <w:t xml:space="preserve"> </w:t>
        </w:r>
        <w:r>
          <w:t xml:space="preserve">governance concentration continues to track sector membership (the</w:t>
        </w:r>
        <w:r>
          <w:t xml:space="preserve"> </w:t>
        </w:r>
        <w:r>
          <w:t xml:space="preserve">DePIN-DeFi differential documented in Section 3.3), we predict that</w:t>
        </w:r>
        <w:r>
          <w:t xml:space="preserve"> </w:t>
        </w:r>
        <w:r>
          <w:t xml:space="preserve">DePIN protocols entering the cross-section in 2026-2027 will, on</w:t>
        </w:r>
        <w:r>
          <w:t xml:space="preserve"> </w:t>
        </w:r>
        <w:r>
          <w:t xml:space="preserve">average, exhibit higher holding HHI than DeFi protocols entering in</w:t>
        </w:r>
        <w:r>
          <w:t xml:space="preserve"> </w:t>
        </w:r>
        <w:r>
          <w:t xml:space="preserve">the same period, conditional on launch year and insider allocation</w:t>
        </w:r>
        <w:r>
          <w:t xml:space="preserve"> </w:t>
        </w:r>
        <w:r>
          <w:t xml:space="preserve">similarity. Second, given the universal delegation amplification</w:t>
        </w:r>
        <w:r>
          <w:t xml:space="preserve"> </w:t>
        </w:r>
        <w:r>
          <w:t xml:space="preserve">documented in Section 3.5, we predict that any protocol introducing a</w:t>
        </w:r>
        <w:r>
          <w:t xml:space="preserve"> </w:t>
        </w:r>
        <w:r>
          <w:t xml:space="preserve">delegate-program after R2 submission (or expanding from informal to</w:t>
        </w:r>
        <w:r>
          <w:t xml:space="preserve"> </w:t>
        </w:r>
        <w:r>
          <w:t xml:space="preserve">formal delegation) will produce voting HHI greater than its holding</w:t>
        </w:r>
        <w:r>
          <w:t xml:space="preserve"> </w:t>
        </w:r>
        <w:r>
          <w:t xml:space="preserve">HHI within twelve months of the program launch, with magnitude varying</w:t>
        </w:r>
        <w:r>
          <w:t xml:space="preserve"> </w:t>
        </w:r>
        <w:r>
          <w:t xml:space="preserve">by delegate-program design rather than by sector. Both predictions</w:t>
        </w:r>
        <w:r>
          <w:t xml:space="preserve"> </w:t>
        </w:r>
        <w:r>
          <w:t xml:space="preserve">inherit the methodology applied in this paper (PCA-symmetric HHI</w:t>
        </w:r>
        <w:r>
          <w:t xml:space="preserve"> </w:t>
        </w:r>
        <w:r>
          <w:t xml:space="preserve">computation; March 2026 baseline methodology). Subsequent panel-data</w:t>
        </w:r>
        <w:r>
          <w:t xml:space="preserve"> </w:t>
        </w:r>
        <w:r>
          <w:t xml:space="preserve">and event-study work testing these predictions will be pre-registered</w:t>
        </w:r>
        <w:r>
          <w:t xml:space="preserve"> </w:t>
        </w:r>
        <w:r>
          <w:t xml:space="preserve">(OSF or equivalent) to commit hypothesis specifications prior to data</w:t>
        </w:r>
        <w:r>
          <w:t xml:space="preserve"> </w:t>
        </w:r>
        <w:r>
          <w:t xml:space="preserve">analysis, addressing the multiple-comparisons concerns inherent in</w:t>
        </w:r>
        <w:r>
          <w:t xml:space="preserve"> </w:t>
        </w:r>
        <w:r>
          <w:t xml:space="preserve">cross-sectional descriptive analysis.</w:t>
        </w:r>
      </w:ins>
    </w:p>
    <w:p>
      <w:ins w:id="1100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(86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R2 Table 4 expansion,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ins w:id="1100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0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0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0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0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09" w:author="R2 Revision" w:date="2026-05-19T00:00:00Z">
        <w:pPr>
          <w:pStyle w:val="BodyText"/>
        </w:pP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1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1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1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ins w:id="11013" w:author="R2 Revision" w:date="2026-05-19T00:00:00Z">
        <w:pPr>
          <w:pStyle w:val="Heading1"/>
        </w:pPr>
        <w:r>
          <w:t xml:space="preserve">Acknowledgments</w:t>
        </w:r>
      </w:ins>
    </w:p>
    <w:p>
      <w:ins w:id="1101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2"/>
    <w:bookmarkStart w:id="123" w:name="references"/>
    <w:p>
      <w:ins w:id="11015" w:author="R2 Revision" w:date="2026-05-19T00:00:00Z">
        <w:pPr>
          <w:pStyle w:val="Heading1"/>
        </w:pPr>
        <w:r>
          <w:t xml:space="preserve">References</w:t>
        </w:r>
      </w:ins>
    </w:p>
    <w:p>
      <w:ins w:id="1101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1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1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1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2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2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2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2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2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2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2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2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2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2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3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3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3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3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3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3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3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3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3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3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4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4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4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4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4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4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4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4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4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4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5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5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5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5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5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5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5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5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5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5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6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6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6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6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6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6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6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6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6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6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7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7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7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7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7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7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7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7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7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7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8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8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8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8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8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8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08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08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08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08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09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09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09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09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09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09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09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09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09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09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0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0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0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0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0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0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0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0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0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0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1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1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1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1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1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1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1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1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1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1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2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2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2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2026-05-19T07:04:52Z</dcterms:created>
  <dcterms:modified xsi:type="dcterms:W3CDTF">2026-05-19T07:04:52Z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