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7.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6"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2"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1"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Sim API verification in</w:t>
      </w:r>
      <w:r>
        <w:t xml:space="preserve"> </w:t>
      </w:r>
      <w:hyperlink r:id="rId67">
        <w:r>
          <w:rPr>
            <w:rStyle w:val="Hyperlink"/>
          </w:rPr>
          <w:t xml:space="preserve">Supplementary File S13</w:t>
        </w:r>
      </w:hyperlink>
      <w:r>
        <w:t xml:space="preserve">). A universal CEX hot-wallet sweep across the N = 40 cross-section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protocol’s Phragmen algorithm equalizes nominator-to-validator allocation by design (validator-stake floor approximately 1.5M DOT for the active validator set; duplicate-stake clusters at the floor are structural artifacts of the equalization mechanism, not single-operator clustering, per the per-validator nominator-count variation of 1 to 190 across the unverified cluster). The standard validator-stake-HHI methodology systematically understates actual governance concentration for the Substrate NPoS class along three reinforcing axes documented in</w:t>
      </w:r>
      <w:r>
        <w:t xml:space="preserve"> </w:t>
      </w:r>
      <w:hyperlink r:id="rId68">
        <w:r>
          <w:rPr>
            <w:rStyle w:val="Hyperlink"/>
          </w:rPr>
          <w:t xml:space="preserve">Supplementary File S19 DOT addendum</w:t>
        </w:r>
      </w:hyperlink>
      <w:r>
        <w:t xml:space="preserve">.</w:t>
      </w:r>
    </w:p>
    <w:p>
      <w:pPr>
        <w:pStyle w:val="BodyText"/>
      </w:pPr>
      <w:r>
        <w:t xml:space="preserve">First, operator-level concentration: Binance dominates the top-16 validator slots (rank-1 through rank-16 except rank-9 DothubValidator; each approximately 2.075M DOT bonded; vertical CEX-stake integration routing customer DOT custody through CEX-controlled validators). The verified-operator breakdown of bonded stake is 3.90 percent verified CEX (largely Binance), 3.31 percent institutional (Figment, Stakefish, Kraken, RockX, P2P), 8.90 percent independent, and 83.89 percent unverified. Binance’s 3.72 percent bonded-stake share at the verified layer is a lower bound on actual CEX-validator concentration because the 83.89 percent unverified pool may contain additional CEX-routed validators not yet identified via self-stake signature or nominator-count fingerprinting (verified-operator self-stake signature distinguishes Binance approximately 0 percent self-stake from institutional operator 173 to 561 retail-nominator profiles).</w:t>
      </w:r>
    </w:p>
    <w:p>
      <w:pPr>
        <w:pStyle w:val="BodyText"/>
      </w:pPr>
      <w:r>
        <w:t xml:space="preserve">Second, governance-vote concentration substantially exceeds validator-stake concentration. OpenGov referendum #1777 (representative of the active OpenGov surface) had three single voters depositing 9M DOT each, which is 6x the approximately 1.5M DOT per-validator NPoS cap. Direct OpenGov voting bypasses the validator-stake-equalization mechanism entirely; a holder with material DOT can deploy the full balance to governance without distributing across validators. The governance-vote HHI on OpenGov is therefore the methodologically-appropriate concentration metric for political-economy-relevant analysis on Substrate NPoS chains, with the validator-stake HHI 0.0017 documenting only the staking-distribution layer.</w:t>
      </w:r>
    </w:p>
    <w:p>
      <w:pPr>
        <w:pStyle w:val="BodyText"/>
      </w:pPr>
      <w:r>
        <w:t xml:space="preserve">Third, empirical-instability of holder-balance: a Subscan API verification (</w:t>
      </w:r>
      <w:hyperlink r:id="rId69">
        <w:r>
          <w:rPr>
            <w:rStyle w:val="Hyperlink"/>
          </w:rPr>
          <w:t xml:space="preserve">finding memo</w:t>
        </w:r>
      </w:hyperlink>
      <w:r>
        <w:t xml:space="preserve">) shows that the Dune-identified pre-cycle DOT top-1 holder (</w:t>
      </w:r>
      <w:r>
        <w:rPr>
          <w:rStyle w:val="VerbatimChar"/>
        </w:rPr>
        <w:t xml:space="preserve">16ZL8y...</w:t>
      </w:r>
      <w:r>
        <w:t xml:space="preserve"> </w:t>
      </w:r>
      <w:r>
        <w:t xml:space="preserve">at 132.9M DOT in the 2025-07-23 snapshot) has balance = 0 in the current Subscan state. Holder-balance distributions on Substrate NPoS chains rebalance via the equalization mechanism plus active OpenGov vote deployment on a faster cadence than the standard holder-HHI snapshot methodology assumes; stake-concentration HHI computed at the validator-operator layer is the methodologically-stable alternative.</w:t>
      </w:r>
    </w:p>
    <w:p>
      <w:pPr>
        <w:pStyle w:val="BodyText"/>
      </w:pPr>
      <w:r>
        <w:t xml:space="preserve">The methodological implication is that Substrate NPoS chains require a multi-axis concentration frame: validator-stake HHI (mechanically near-zero by NPoS design); operator-stake HHI at the verified-operator layer (CEX-validator integration evidence); governance-vote HHI on OpenGov (the political-economy-relevant axis, bypassing the validator-stake cap); and foundation-custody fraction (separate axis covering Web3 Foundation and analogous pre-stake custody). Sister-finding: TAO/Bittensor also exhibits low pre-exclusion HHI 0.014 at the validator network layer; both DOT and TAO form a substrate-native L1+DePIN cluster around HHI 0.014 to 0.0017 where standard holder-HHI methodology underweights. Polkadot is a HALT-4.1 case in the Phase 4 sample-expansion dispatch (</w:t>
      </w:r>
      <w:hyperlink r:id="rId70">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multi-axis methodology as the primary frame, with §3.8 typology extension following the four-axis decomposition outlined above.</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1"/>
    <w:bookmarkEnd w:id="72"/>
    <w:bookmarkStart w:id="85"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4" name="Picture"/>
            <a:graphic>
              <a:graphicData uri="http://schemas.openxmlformats.org/drawingml/2006/picture">
                <pic:pic>
                  <pic:nvPicPr>
                    <pic:cNvPr descr="media/fig9_loo_forest.png" id="75" name="Picture"/>
                    <pic:cNvPicPr>
                      <a:picLocks noChangeArrowheads="1" noChangeAspect="1"/>
                    </pic:cNvPicPr>
                  </pic:nvPicPr>
                  <pic:blipFill>
                    <a:blip r:embed="rId73"/>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6">
        <w:r>
          <w:rPr>
            <w:rStyle w:val="Hyperlink"/>
          </w:rPr>
          <w:t xml:space="preserve">Supplementary File S8</w:t>
        </w:r>
      </w:hyperlink>
      <w:r>
        <w:t xml:space="preserve">.</w:t>
      </w:r>
    </w:p>
    <w:p>
      <w:pPr>
        <w:pStyle w:val="BodyText"/>
      </w:pPr>
      <w:r>
        <w:drawing>
          <wp:inline>
            <wp:extent cx="5334000" cy="4186514"/>
            <wp:effectExtent b="0" l="0" r="0" t="0"/>
            <wp:docPr descr="" title="" id="78" name="Picture"/>
            <a:graphic>
              <a:graphicData uri="http://schemas.openxmlformats.org/drawingml/2006/picture">
                <pic:pic>
                  <pic:nvPicPr>
                    <pic:cNvPr descr="media/fig7_subsidy_scatter.png" id="79" name="Picture"/>
                    <pic:cNvPicPr>
                      <a:picLocks noChangeArrowheads="1" noChangeAspect="1"/>
                    </pic:cNvPicPr>
                  </pic:nvPicPr>
                  <pic:blipFill>
                    <a:blip r:embed="rId77"/>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6">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1"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0">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0">
        <w:r>
          <w:rPr>
            <w:rStyle w:val="Hyperlink"/>
          </w:rPr>
          <w:t xml:space="preserve">Supplementary File S12</w:t>
        </w:r>
      </w:hyperlink>
      <w:r>
        <w:t xml:space="preserve">.</w:t>
      </w:r>
    </w:p>
    <w:bookmarkEnd w:id="81"/>
    <w:bookmarkStart w:id="83"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2">
        <w:r>
          <w:rPr>
            <w:rStyle w:val="Hyperlink"/>
          </w:rPr>
          <w:t xml:space="preserve">Supplementary File S10</w:t>
        </w:r>
      </w:hyperlink>
      <w:r>
        <w:t xml:space="preserve">.</w:t>
      </w:r>
    </w:p>
    <w:bookmarkEnd w:id="83"/>
    <w:bookmarkStart w:id="84"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4"/>
    <w:bookmarkEnd w:id="85"/>
    <w:bookmarkEnd w:id="86"/>
    <w:bookmarkStart w:id="98" w:name="discussion"/>
    <w:p>
      <w:pPr>
        <w:pStyle w:val="Heading1"/>
      </w:pPr>
      <w:r>
        <w:t xml:space="preserve">5 Discussion</w:t>
      </w:r>
    </w:p>
    <w:bookmarkStart w:id="87"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7"/>
    <w:bookmarkStart w:id="88"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8"/>
    <w:bookmarkStart w:id="89"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9"/>
    <w:bookmarkStart w:id="90"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0"/>
    <w:bookmarkStart w:id="91"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1"/>
    <w:bookmarkStart w:id="92"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2"/>
    <w:bookmarkStart w:id="93"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3"/>
    <w:bookmarkStart w:id="96"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4">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5">
        <w:r>
          <w:rPr>
            <w:rStyle w:val="Hyperlink"/>
          </w:rPr>
          <w:t xml:space="preserve">Supplementary File S17</w:t>
        </w:r>
      </w:hyperlink>
      <w:r>
        <w:t xml:space="preserve">.</w:t>
      </w:r>
    </w:p>
    <w:bookmarkEnd w:id="96"/>
    <w:bookmarkStart w:id="97"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7"/>
    <w:bookmarkEnd w:id="98"/>
    <w:bookmarkStart w:id="99"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9"/>
    <w:bookmarkStart w:id="100"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0"/>
    <w:bookmarkStart w:id="101"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1"/>
    <w:bookmarkStart w:id="102"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hyperlink" Id="rId69" Target="https://github.com/CryptoZach/Claude1/blob/main/handoff/architecture/dot_subscan_refresh_finding_2026-05-27.md" TargetMode="External" /><Relationship Type="http://schemas.openxmlformats.org/officeDocument/2006/relationships/hyperlink" Id="rId82" Target="https://github.com/Research-Publications-and-Data/Tokenomics-As-Institutional_Design/blob/main/b2/paper/supplements/S10_pca_classification_robustness.md" TargetMode="External" /><Relationship Type="http://schemas.openxmlformats.org/officeDocument/2006/relationships/hyperlink" Id="rId80"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0" Target="https://github.com/Research-Publications-and-Data/Tokenomics-As-Institutional_Design/blob/main/b2/paper/supplements/S16_phase4_minibatch_2026-05-27.md" TargetMode="External" /><Relationship Type="http://schemas.openxmlformats.org/officeDocument/2006/relationships/hyperlink" Id="rId95" Target="https://github.com/Research-Publications-and-Data/Tokenomics-As-Institutional_Design/blob/main/b2/paper/supplements/S17_falsifiable_predictions.md" TargetMode="External" /><Relationship Type="http://schemas.openxmlformats.org/officeDocument/2006/relationships/hyperlink" Id="rId68" Target="https://github.com/Research-Publications-and-Data/Tokenomics-As-Institutional_Design/blob/main/b2/paper/supplements/S19_universal_sweep_dot_addendum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6" Target="https://github.com/Research-Publications-and-Data/Tokenomics-As-Institutional_Design/blob/main/b2/paper/supplements/S8_tt_expansion.md" TargetMode="External" /><Relationship Type="http://schemas.openxmlformats.org/officeDocument/2006/relationships/hyperlink" Id="rId94"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69" Target="https://github.com/CryptoZach/Claude1/blob/main/handoff/architecture/dot_subscan_refresh_finding_2026-05-27.md" TargetMode="External" /><Relationship Type="http://schemas.openxmlformats.org/officeDocument/2006/relationships/hyperlink" Id="rId82" Target="https://github.com/Research-Publications-and-Data/Tokenomics-As-Institutional_Design/blob/main/b2/paper/supplements/S10_pca_classification_robustness.md" TargetMode="External" /><Relationship Type="http://schemas.openxmlformats.org/officeDocument/2006/relationships/hyperlink" Id="rId80"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70" Target="https://github.com/Research-Publications-and-Data/Tokenomics-As-Institutional_Design/blob/main/b2/paper/supplements/S16_phase4_minibatch_2026-05-27.md" TargetMode="External" /><Relationship Type="http://schemas.openxmlformats.org/officeDocument/2006/relationships/hyperlink" Id="rId95" Target="https://github.com/Research-Publications-and-Data/Tokenomics-As-Institutional_Design/blob/main/b2/paper/supplements/S17_falsifiable_predictions.md" TargetMode="External" /><Relationship Type="http://schemas.openxmlformats.org/officeDocument/2006/relationships/hyperlink" Id="rId68" Target="https://github.com/Research-Publications-and-Data/Tokenomics-As-Institutional_Design/blob/main/b2/paper/supplements/S19_universal_sweep_dot_addendum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6" Target="https://github.com/Research-Publications-and-Data/Tokenomics-As-Institutional_Design/blob/main/b2/paper/supplements/S8_tt_expansion.md" TargetMode="External" /><Relationship Type="http://schemas.openxmlformats.org/officeDocument/2006/relationships/hyperlink" Id="rId94"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2026-05-27T08:53:33Z</dcterms:created>
  <dcterms:modified xsi:type="dcterms:W3CDTF">2026-05-27T08:53:33Z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